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Override PartName="/word/charts/chart20.xml" ContentType="application/vnd.openxmlformats-officedocument.drawingml.chart+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harts/colors10.xml" ContentType="application/vnd.ms-office.chartcolorstyle+xml"/>
  <Override PartName="/word/charts/style10.xml" ContentType="application/vnd.ms-office.chartstyle+xml"/>
  <Override PartName="/word/charts/colors20.xml" ContentType="application/vnd.ms-office.chartcolorstyle+xml"/>
  <Override PartName="/word/charts/style2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F2A97" w14:textId="49A5F991" w:rsidR="00CC53BF" w:rsidRPr="0012562A" w:rsidRDefault="001F231F" w:rsidP="0012562A">
      <w:pPr>
        <w:pStyle w:val="Titre"/>
        <w:jc w:val="center"/>
        <w:rPr>
          <w:sz w:val="52"/>
          <w:szCs w:val="52"/>
        </w:rPr>
      </w:pPr>
      <w:bookmarkStart w:id="0" w:name="_GoBack"/>
      <w:bookmarkEnd w:id="0"/>
      <w:r w:rsidRPr="0012562A">
        <w:rPr>
          <w:sz w:val="52"/>
          <w:szCs w:val="52"/>
        </w:rPr>
        <w:t>Vélo : q</w:t>
      </w:r>
      <w:r w:rsidR="00817F5F" w:rsidRPr="0012562A">
        <w:rPr>
          <w:sz w:val="52"/>
          <w:szCs w:val="52"/>
        </w:rPr>
        <w:t>uel bilan de l’accidentalité en 2019 ?</w:t>
      </w:r>
    </w:p>
    <w:p w14:paraId="028680D0" w14:textId="77777777" w:rsidR="001F231F" w:rsidRPr="001F231F" w:rsidRDefault="001F231F" w:rsidP="001F231F"/>
    <w:p w14:paraId="7DBFA9AC" w14:textId="69E073AA" w:rsidR="00F9256C" w:rsidRPr="001F231F" w:rsidRDefault="00F77D77" w:rsidP="00F9256C">
      <w:pPr>
        <w:rPr>
          <w:rFonts w:asciiTheme="minorHAnsi" w:hAnsiTheme="minorHAnsi" w:cstheme="minorHAnsi"/>
          <w:szCs w:val="24"/>
        </w:rPr>
      </w:pPr>
      <w:r w:rsidRPr="001F231F">
        <w:rPr>
          <w:rFonts w:asciiTheme="minorHAnsi" w:hAnsiTheme="minorHAnsi" w:cstheme="minorHAnsi"/>
          <w:szCs w:val="24"/>
          <w:lang w:eastAsia="en-US"/>
        </w:rPr>
        <w:t xml:space="preserve">Le 14 septembre 2018 était présenté le plan </w:t>
      </w:r>
      <w:r w:rsidR="001F231F">
        <w:rPr>
          <w:rFonts w:asciiTheme="minorHAnsi" w:hAnsiTheme="minorHAnsi" w:cstheme="minorHAnsi"/>
          <w:szCs w:val="24"/>
          <w:lang w:eastAsia="en-US"/>
        </w:rPr>
        <w:t>« </w:t>
      </w:r>
      <w:r w:rsidRPr="001F231F">
        <w:rPr>
          <w:rFonts w:asciiTheme="minorHAnsi" w:hAnsiTheme="minorHAnsi" w:cstheme="minorHAnsi"/>
          <w:szCs w:val="24"/>
          <w:lang w:eastAsia="en-US"/>
        </w:rPr>
        <w:t xml:space="preserve">Vélo et </w:t>
      </w:r>
      <w:r w:rsidRPr="001F231F">
        <w:rPr>
          <w:rFonts w:asciiTheme="minorHAnsi" w:hAnsiTheme="minorHAnsi" w:cstheme="minorHAnsi"/>
          <w:iCs/>
          <w:szCs w:val="24"/>
          <w:lang w:eastAsia="en-US"/>
        </w:rPr>
        <w:t>mobilités active</w:t>
      </w:r>
      <w:r w:rsidR="001F231F" w:rsidRPr="001F231F">
        <w:rPr>
          <w:rFonts w:asciiTheme="minorHAnsi" w:hAnsiTheme="minorHAnsi" w:cstheme="minorHAnsi"/>
          <w:iCs/>
          <w:szCs w:val="24"/>
          <w:lang w:eastAsia="en-US"/>
        </w:rPr>
        <w:t>s</w:t>
      </w:r>
      <w:r w:rsidR="001F231F">
        <w:rPr>
          <w:rFonts w:asciiTheme="minorHAnsi" w:hAnsiTheme="minorHAnsi" w:cstheme="minorHAnsi"/>
          <w:i/>
          <w:iCs/>
          <w:szCs w:val="24"/>
          <w:lang w:eastAsia="en-US"/>
        </w:rPr>
        <w:t> »</w:t>
      </w:r>
      <w:r w:rsidR="001F231F">
        <w:rPr>
          <w:rFonts w:asciiTheme="minorHAnsi" w:hAnsiTheme="minorHAnsi" w:cstheme="minorHAnsi"/>
          <w:szCs w:val="24"/>
          <w:lang w:eastAsia="en-US"/>
        </w:rPr>
        <w:t xml:space="preserve"> </w:t>
      </w:r>
      <w:r w:rsidRPr="001F231F">
        <w:rPr>
          <w:rFonts w:asciiTheme="minorHAnsi" w:hAnsiTheme="minorHAnsi" w:cstheme="minorHAnsi"/>
          <w:szCs w:val="24"/>
          <w:lang w:eastAsia="en-US"/>
        </w:rPr>
        <w:t>portant l'ambition de faire du vélo un mode de transport à part entière avec pour object</w:t>
      </w:r>
      <w:r w:rsidR="001F231F">
        <w:rPr>
          <w:rFonts w:asciiTheme="minorHAnsi" w:hAnsiTheme="minorHAnsi" w:cstheme="minorHAnsi"/>
          <w:szCs w:val="24"/>
          <w:lang w:eastAsia="en-US"/>
        </w:rPr>
        <w:t xml:space="preserve">if de tripler la part modale </w:t>
      </w:r>
      <w:r w:rsidRPr="001F231F">
        <w:rPr>
          <w:rFonts w:asciiTheme="minorHAnsi" w:hAnsiTheme="minorHAnsi" w:cstheme="minorHAnsi"/>
          <w:szCs w:val="24"/>
          <w:lang w:eastAsia="en-US"/>
        </w:rPr>
        <w:t>vélo dans les déplacements du quotidien d’ici 2024, en passant de 3 à 9 %</w:t>
      </w:r>
      <w:r w:rsidR="002477FC">
        <w:rPr>
          <w:rFonts w:asciiTheme="minorHAnsi" w:hAnsiTheme="minorHAnsi" w:cstheme="minorHAnsi"/>
          <w:szCs w:val="24"/>
          <w:lang w:eastAsia="en-US"/>
        </w:rPr>
        <w:t xml:space="preserve"> </w:t>
      </w:r>
      <w:r w:rsidR="002477FC">
        <w:rPr>
          <w:rFonts w:asciiTheme="minorHAnsi" w:hAnsiTheme="minorHAnsi" w:cstheme="minorHAnsi"/>
          <w:szCs w:val="24"/>
          <w:lang w:eastAsia="en-US"/>
        </w:rPr>
        <w:fldChar w:fldCharType="begin"/>
      </w:r>
      <w:r w:rsidR="002477FC">
        <w:rPr>
          <w:rFonts w:asciiTheme="minorHAnsi" w:hAnsiTheme="minorHAnsi" w:cstheme="minorHAnsi"/>
          <w:szCs w:val="24"/>
          <w:lang w:eastAsia="en-US"/>
        </w:rPr>
        <w:instrText xml:space="preserve"> ADDIN ZOTERO_ITEM CSL_CITATION {"citationID":"cjjGEKwp","properties":{"formattedCitation":"(1)","plainCitation":"(1)","noteIndex":0},"citationItems":[{"id":4773,"uris":["http://zotero.org/users/2384352/items/285W6QIJ"],"uri":["http://zotero.org/users/2384352/items/285W6QIJ"],"itemData":{"id":4773,"type":"bill","title":"Plan Vélo et mobilités actives","URL":"https://www.ecologie.gouv.fr/sites/default/files/2018.09.14_DP_PlanVelo.pdf","author":[{"family":"Gouvernement","given":""}],"issued":{"date-parts":[["2018",9,14]]}}}],"schema":"https://github.com/citation-style-language/schema/raw/master/csl-citation.json"} </w:instrText>
      </w:r>
      <w:r w:rsidR="002477FC">
        <w:rPr>
          <w:rFonts w:asciiTheme="minorHAnsi" w:hAnsiTheme="minorHAnsi" w:cstheme="minorHAnsi"/>
          <w:szCs w:val="24"/>
          <w:lang w:eastAsia="en-US"/>
        </w:rPr>
        <w:fldChar w:fldCharType="separate"/>
      </w:r>
      <w:r w:rsidR="002477FC" w:rsidRPr="002477FC">
        <w:rPr>
          <w:rFonts w:cs="Calibri"/>
        </w:rPr>
        <w:t>(1)</w:t>
      </w:r>
      <w:r w:rsidR="002477FC">
        <w:rPr>
          <w:rFonts w:asciiTheme="minorHAnsi" w:hAnsiTheme="minorHAnsi" w:cstheme="minorHAnsi"/>
          <w:szCs w:val="24"/>
          <w:lang w:eastAsia="en-US"/>
        </w:rPr>
        <w:fldChar w:fldCharType="end"/>
      </w:r>
      <w:r w:rsidR="00F9256C" w:rsidRPr="001F231F">
        <w:rPr>
          <w:rFonts w:asciiTheme="minorHAnsi" w:hAnsiTheme="minorHAnsi" w:cstheme="minorHAnsi"/>
          <w:szCs w:val="24"/>
          <w:lang w:eastAsia="en-US"/>
        </w:rPr>
        <w:t xml:space="preserve">. </w:t>
      </w:r>
      <w:r w:rsidR="00F9256C" w:rsidRPr="001F231F">
        <w:rPr>
          <w:rFonts w:asciiTheme="minorHAnsi" w:hAnsiTheme="minorHAnsi" w:cstheme="minorHAnsi"/>
          <w:szCs w:val="24"/>
        </w:rPr>
        <w:t>En 2019, le vélo représentait 1,6% et la marche 31% de la part modale des déplacements dans la Métropole européenne de Lille.</w:t>
      </w:r>
    </w:p>
    <w:p w14:paraId="53975B32" w14:textId="77BAD016" w:rsidR="00817F5F" w:rsidRPr="001F231F" w:rsidRDefault="00F9256C">
      <w:pPr>
        <w:rPr>
          <w:rFonts w:asciiTheme="minorHAnsi" w:hAnsiTheme="minorHAnsi" w:cstheme="minorHAnsi"/>
          <w:szCs w:val="24"/>
        </w:rPr>
      </w:pPr>
      <w:r w:rsidRPr="001F231F">
        <w:rPr>
          <w:rFonts w:asciiTheme="minorHAnsi" w:hAnsiTheme="minorHAnsi" w:cstheme="minorHAnsi"/>
          <w:noProof/>
          <w:szCs w:val="24"/>
        </w:rPr>
        <w:drawing>
          <wp:anchor distT="0" distB="0" distL="114300" distR="114300" simplePos="0" relativeHeight="251658240" behindDoc="0" locked="0" layoutInCell="1" allowOverlap="1" wp14:anchorId="3288ED27" wp14:editId="3A46D3EE">
            <wp:simplePos x="0" y="0"/>
            <wp:positionH relativeFrom="column">
              <wp:posOffset>-1905</wp:posOffset>
            </wp:positionH>
            <wp:positionV relativeFrom="paragraph">
              <wp:posOffset>517525</wp:posOffset>
            </wp:positionV>
            <wp:extent cx="3646170" cy="204216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170" cy="204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C33" w:rsidRPr="001F231F">
        <w:rPr>
          <w:rFonts w:asciiTheme="minorHAnsi" w:hAnsiTheme="minorHAnsi" w:cstheme="minorHAnsi"/>
          <w:szCs w:val="24"/>
        </w:rPr>
        <w:t>L</w:t>
      </w:r>
      <w:r w:rsidR="00817F5F" w:rsidRPr="001F231F">
        <w:rPr>
          <w:rFonts w:asciiTheme="minorHAnsi" w:hAnsiTheme="minorHAnsi" w:cstheme="minorHAnsi"/>
          <w:szCs w:val="24"/>
        </w:rPr>
        <w:t>e vélo présente un certain nombre de bénéfices pour la santé</w:t>
      </w:r>
      <w:r w:rsidR="00375C33" w:rsidRPr="001F231F">
        <w:rPr>
          <w:rFonts w:asciiTheme="minorHAnsi" w:hAnsiTheme="minorHAnsi" w:cstheme="minorHAnsi"/>
          <w:szCs w:val="24"/>
        </w:rPr>
        <w:t> ; il réduit</w:t>
      </w:r>
      <w:r w:rsidR="00050841" w:rsidRPr="001F231F">
        <w:rPr>
          <w:rFonts w:asciiTheme="minorHAnsi" w:hAnsiTheme="minorHAnsi" w:cstheme="minorHAnsi"/>
          <w:szCs w:val="24"/>
        </w:rPr>
        <w:t xml:space="preserve"> par exemple</w:t>
      </w:r>
      <w:r w:rsidR="00375C33" w:rsidRPr="001F231F">
        <w:rPr>
          <w:rFonts w:asciiTheme="minorHAnsi" w:hAnsiTheme="minorHAnsi" w:cstheme="minorHAnsi"/>
          <w:szCs w:val="24"/>
        </w:rPr>
        <w:t xml:space="preserve"> le risque </w:t>
      </w:r>
      <w:commentRangeStart w:id="1"/>
      <w:commentRangeStart w:id="2"/>
      <w:r w:rsidR="00375C33" w:rsidRPr="001F231F">
        <w:rPr>
          <w:rFonts w:asciiTheme="minorHAnsi" w:hAnsiTheme="minorHAnsi" w:cstheme="minorHAnsi"/>
          <w:szCs w:val="24"/>
        </w:rPr>
        <w:t>de</w:t>
      </w:r>
      <w:commentRangeEnd w:id="1"/>
      <w:r w:rsidR="00CC2FF9">
        <w:rPr>
          <w:rStyle w:val="Marquedecommentaire"/>
        </w:rPr>
        <w:commentReference w:id="1"/>
      </w:r>
      <w:commentRangeEnd w:id="2"/>
      <w:r w:rsidR="00D939B5">
        <w:rPr>
          <w:rStyle w:val="Marquedecommentaire"/>
        </w:rPr>
        <w:commentReference w:id="2"/>
      </w:r>
      <w:r w:rsidR="00375C33" w:rsidRPr="001F231F">
        <w:rPr>
          <w:rFonts w:asciiTheme="minorHAnsi" w:hAnsiTheme="minorHAnsi" w:cstheme="minorHAnsi"/>
          <w:szCs w:val="24"/>
        </w:rPr>
        <w:t xml:space="preserve"> survenue des maladies cardio-vasculaires, du diabète de type 2, de cancers (sein, colon), de l’</w:t>
      </w:r>
      <w:r w:rsidR="00050841" w:rsidRPr="001F231F">
        <w:rPr>
          <w:rFonts w:asciiTheme="minorHAnsi" w:hAnsiTheme="minorHAnsi" w:cstheme="minorHAnsi"/>
          <w:szCs w:val="24"/>
        </w:rPr>
        <w:t>ostéoporose</w:t>
      </w:r>
      <w:r w:rsidR="00375C33" w:rsidRPr="001F231F">
        <w:rPr>
          <w:rFonts w:asciiTheme="minorHAnsi" w:hAnsiTheme="minorHAnsi" w:cstheme="minorHAnsi"/>
          <w:szCs w:val="24"/>
        </w:rPr>
        <w:t>, de la dépression, de la maladie d’Alzheimer et du surpoids-obésité</w:t>
      </w:r>
      <w:r w:rsidR="002477FC">
        <w:rPr>
          <w:rFonts w:asciiTheme="minorHAnsi" w:hAnsiTheme="minorHAnsi" w:cstheme="minorHAnsi"/>
          <w:szCs w:val="24"/>
        </w:rPr>
        <w:t xml:space="preserve"> </w:t>
      </w:r>
      <w:r w:rsidR="002477FC">
        <w:rPr>
          <w:rFonts w:asciiTheme="minorHAnsi" w:hAnsiTheme="minorHAnsi" w:cstheme="minorHAnsi"/>
          <w:szCs w:val="24"/>
        </w:rPr>
        <w:fldChar w:fldCharType="begin"/>
      </w:r>
      <w:r w:rsidR="002477FC">
        <w:rPr>
          <w:rFonts w:asciiTheme="minorHAnsi" w:hAnsiTheme="minorHAnsi" w:cstheme="minorHAnsi"/>
          <w:szCs w:val="24"/>
        </w:rPr>
        <w:instrText xml:space="preserve"> ADDIN ZOTERO_ITEM CSL_CITATION {"citationID":"C0fTQWke","properties":{"formattedCitation":"(2)","plainCitation":"(2)","noteIndex":0},"citationItems":[{"id":4772,"uris":["http://zotero.org/users/2384352/items/GA5CG7H7"],"uri":["http://zotero.org/users/2384352/items/GA5CG7H7"],"itemData":{"id":4772,"type":"report","event-place":"Paris","page":"163","publisher":"Observatoire régional de la santé Île-de-France","publisher-place":"Paris","title":"Les bénéfices et les risques de la pratique du vélo. Évaluation en Île-de-France","URL":"https://www.ors-idf.org/nos-travaux/publications/les-benefices-et-les-risques-de-la-pratique-du-velo.html","author":[{"family":"Praznoczy","given":"Corinne"}],"issued":{"date-parts":[["2012",9]]}}}],"schema":"https://github.com/citation-style-language/schema/raw/master/csl-citation.json"} </w:instrText>
      </w:r>
      <w:r w:rsidR="002477FC">
        <w:rPr>
          <w:rFonts w:asciiTheme="minorHAnsi" w:hAnsiTheme="minorHAnsi" w:cstheme="minorHAnsi"/>
          <w:szCs w:val="24"/>
        </w:rPr>
        <w:fldChar w:fldCharType="separate"/>
      </w:r>
      <w:r w:rsidR="002477FC" w:rsidRPr="002477FC">
        <w:rPr>
          <w:rFonts w:cs="Calibri"/>
        </w:rPr>
        <w:t>(2)</w:t>
      </w:r>
      <w:r w:rsidR="002477FC">
        <w:rPr>
          <w:rFonts w:asciiTheme="minorHAnsi" w:hAnsiTheme="minorHAnsi" w:cstheme="minorHAnsi"/>
          <w:szCs w:val="24"/>
        </w:rPr>
        <w:fldChar w:fldCharType="end"/>
      </w:r>
      <w:r w:rsidR="00050841" w:rsidRPr="001F231F">
        <w:rPr>
          <w:rFonts w:asciiTheme="minorHAnsi" w:hAnsiTheme="minorHAnsi" w:cstheme="minorHAnsi"/>
          <w:szCs w:val="24"/>
        </w:rPr>
        <w:t>. Le vélo</w:t>
      </w:r>
      <w:r w:rsidR="00817F5F" w:rsidRPr="001F231F">
        <w:rPr>
          <w:rFonts w:asciiTheme="minorHAnsi" w:hAnsiTheme="minorHAnsi" w:cstheme="minorHAnsi"/>
          <w:szCs w:val="24"/>
        </w:rPr>
        <w:t xml:space="preserve"> présente aussi, comme toute </w:t>
      </w:r>
      <w:r w:rsidR="00050841" w:rsidRPr="001F231F">
        <w:rPr>
          <w:rFonts w:asciiTheme="minorHAnsi" w:hAnsiTheme="minorHAnsi" w:cstheme="minorHAnsi"/>
          <w:szCs w:val="24"/>
        </w:rPr>
        <w:t>activité</w:t>
      </w:r>
      <w:r w:rsidR="00817F5F" w:rsidRPr="001F231F">
        <w:rPr>
          <w:rFonts w:asciiTheme="minorHAnsi" w:hAnsiTheme="minorHAnsi" w:cstheme="minorHAnsi"/>
          <w:szCs w:val="24"/>
        </w:rPr>
        <w:t xml:space="preserve"> humaine, des risques</w:t>
      </w:r>
      <w:r w:rsidRPr="001F231F">
        <w:rPr>
          <w:rFonts w:asciiTheme="minorHAnsi" w:hAnsiTheme="minorHAnsi" w:cstheme="minorHAnsi"/>
          <w:szCs w:val="24"/>
        </w:rPr>
        <w:t>, d’être blessé ou tué notamment</w:t>
      </w:r>
      <w:r w:rsidR="00817F5F" w:rsidRPr="001F231F">
        <w:rPr>
          <w:rFonts w:asciiTheme="minorHAnsi" w:hAnsiTheme="minorHAnsi" w:cstheme="minorHAnsi"/>
          <w:szCs w:val="24"/>
        </w:rPr>
        <w:t xml:space="preserve">. </w:t>
      </w:r>
      <w:r w:rsidRPr="001F231F">
        <w:rPr>
          <w:rFonts w:asciiTheme="minorHAnsi" w:hAnsiTheme="minorHAnsi" w:cstheme="minorHAnsi"/>
          <w:szCs w:val="24"/>
        </w:rPr>
        <w:t>L</w:t>
      </w:r>
      <w:r w:rsidR="00817F5F" w:rsidRPr="001F231F">
        <w:rPr>
          <w:rFonts w:asciiTheme="minorHAnsi" w:hAnsiTheme="minorHAnsi" w:cstheme="minorHAnsi"/>
          <w:szCs w:val="24"/>
        </w:rPr>
        <w:t xml:space="preserve">e dernier rapport annuel de l’Observatoire interministériel de la sécurité routière (ONISR) </w:t>
      </w:r>
      <w:r w:rsidR="002477FC">
        <w:rPr>
          <w:rFonts w:asciiTheme="minorHAnsi" w:hAnsiTheme="minorHAnsi" w:cstheme="minorHAnsi"/>
          <w:szCs w:val="24"/>
        </w:rPr>
        <w:fldChar w:fldCharType="begin"/>
      </w:r>
      <w:r w:rsidR="002477FC">
        <w:rPr>
          <w:rFonts w:asciiTheme="minorHAnsi" w:hAnsiTheme="minorHAnsi" w:cstheme="minorHAnsi"/>
          <w:szCs w:val="24"/>
        </w:rPr>
        <w:instrText xml:space="preserve"> ADDIN ZOTERO_ITEM CSL_CITATION {"citationID":"ZRJml3BV","properties":{"formattedCitation":"(3)","plainCitation":"(3)","noteIndex":0},"citationItems":[{"id":4771,"uris":["http://zotero.org/users/2384352/items/DR4LPHDL"],"uri":["http://zotero.org/users/2384352/items/DR4LPHDL"],"itemData":{"id":4771,"type":"report","event-place":"Paris","page":"201","publisher-place":"Paris","title":"La sécurité routière en France. Bilan de l’accidentalité de l’année 2019","URL":"https://www.onisr.securite-routiere.gouv.fr/sites/default/files/2020-09/Bilan_2019_version_site_internet_24_sept.pdf","author":[{"literal":"Observatoire national interministériel de la sécurité routière"}],"issued":{"date-parts":[["2020"]]}}}],"schema":"https://github.com/citation-style-language/schema/raw/master/csl-citation.json"} </w:instrText>
      </w:r>
      <w:r w:rsidR="002477FC">
        <w:rPr>
          <w:rFonts w:asciiTheme="minorHAnsi" w:hAnsiTheme="minorHAnsi" w:cstheme="minorHAnsi"/>
          <w:szCs w:val="24"/>
        </w:rPr>
        <w:fldChar w:fldCharType="separate"/>
      </w:r>
      <w:r w:rsidR="002477FC" w:rsidRPr="002477FC">
        <w:rPr>
          <w:rFonts w:cs="Calibri"/>
        </w:rPr>
        <w:t>(3)</w:t>
      </w:r>
      <w:r w:rsidR="002477FC">
        <w:rPr>
          <w:rFonts w:asciiTheme="minorHAnsi" w:hAnsiTheme="minorHAnsi" w:cstheme="minorHAnsi"/>
          <w:szCs w:val="24"/>
        </w:rPr>
        <w:fldChar w:fldCharType="end"/>
      </w:r>
      <w:r w:rsidR="002477FC">
        <w:rPr>
          <w:rFonts w:asciiTheme="minorHAnsi" w:hAnsiTheme="minorHAnsi" w:cstheme="minorHAnsi"/>
          <w:szCs w:val="24"/>
        </w:rPr>
        <w:t xml:space="preserve"> </w:t>
      </w:r>
      <w:r w:rsidR="00817F5F" w:rsidRPr="001F231F">
        <w:rPr>
          <w:rFonts w:asciiTheme="minorHAnsi" w:hAnsiTheme="minorHAnsi" w:cstheme="minorHAnsi"/>
          <w:szCs w:val="24"/>
        </w:rPr>
        <w:t xml:space="preserve">apporte des éléments d’information </w:t>
      </w:r>
      <w:r w:rsidRPr="001F231F">
        <w:rPr>
          <w:rFonts w:asciiTheme="minorHAnsi" w:hAnsiTheme="minorHAnsi" w:cstheme="minorHAnsi"/>
          <w:szCs w:val="24"/>
        </w:rPr>
        <w:t xml:space="preserve">importants </w:t>
      </w:r>
      <w:r w:rsidR="00050841" w:rsidRPr="001F231F">
        <w:rPr>
          <w:rFonts w:asciiTheme="minorHAnsi" w:hAnsiTheme="minorHAnsi" w:cstheme="minorHAnsi"/>
          <w:szCs w:val="24"/>
        </w:rPr>
        <w:t>sur ce sujet</w:t>
      </w:r>
      <w:r w:rsidRPr="001F231F">
        <w:rPr>
          <w:rFonts w:asciiTheme="minorHAnsi" w:hAnsiTheme="minorHAnsi" w:cstheme="minorHAnsi"/>
          <w:szCs w:val="24"/>
        </w:rPr>
        <w:t>, dont quelques-uns sont présentés dans cet article</w:t>
      </w:r>
      <w:r w:rsidR="00817F5F" w:rsidRPr="001F231F">
        <w:rPr>
          <w:rFonts w:asciiTheme="minorHAnsi" w:hAnsiTheme="minorHAnsi" w:cstheme="minorHAnsi"/>
          <w:szCs w:val="24"/>
        </w:rPr>
        <w:t>.</w:t>
      </w:r>
    </w:p>
    <w:p w14:paraId="1714CA50" w14:textId="1975699F" w:rsidR="00947823" w:rsidRPr="001F231F" w:rsidRDefault="00947823" w:rsidP="002262D9">
      <w:pPr>
        <w:pStyle w:val="Titre2"/>
      </w:pPr>
      <w:r w:rsidRPr="002262D9">
        <w:t>Méthodologie</w:t>
      </w:r>
    </w:p>
    <w:p w14:paraId="4861AE43" w14:textId="5038CA27" w:rsidR="00947823" w:rsidRDefault="00947823" w:rsidP="00947823">
      <w:pPr>
        <w:rPr>
          <w:rFonts w:asciiTheme="minorHAnsi" w:hAnsiTheme="minorHAnsi" w:cstheme="minorHAnsi"/>
          <w:szCs w:val="24"/>
        </w:rPr>
      </w:pPr>
      <w:r w:rsidRPr="001F231F">
        <w:rPr>
          <w:rFonts w:asciiTheme="minorHAnsi" w:hAnsiTheme="minorHAnsi" w:cstheme="minorHAnsi"/>
          <w:szCs w:val="24"/>
        </w:rPr>
        <w:t>En France, les accidents corporels de la route font l’objet d’un enregistrement par les forces de l’ordre dans le fichier dit BAAC</w:t>
      </w:r>
      <w:r w:rsidR="00BD00CE" w:rsidRPr="001F231F">
        <w:rPr>
          <w:rFonts w:asciiTheme="minorHAnsi" w:hAnsiTheme="minorHAnsi" w:cstheme="minorHAnsi"/>
          <w:szCs w:val="24"/>
        </w:rPr>
        <w:t>. Les tués sont les personnes décédant sur le coup ou dans les 30 jours suivant l’accident. Les blessés sont dits hospitalisés s’ils le sont plus de 24 heures ou blessés légers dans les autres cas.</w:t>
      </w:r>
      <w:r w:rsidR="009A2EE2" w:rsidRPr="001F231F">
        <w:rPr>
          <w:rFonts w:asciiTheme="minorHAnsi" w:hAnsiTheme="minorHAnsi" w:cstheme="minorHAnsi"/>
          <w:szCs w:val="24"/>
        </w:rPr>
        <w:t xml:space="preserve"> Dans la plupart de ses résultats, l’ONISR regroupe, pour la 1</w:t>
      </w:r>
      <w:r w:rsidR="009A2EE2" w:rsidRPr="001F231F">
        <w:rPr>
          <w:rFonts w:asciiTheme="minorHAnsi" w:hAnsiTheme="minorHAnsi" w:cstheme="minorHAnsi"/>
          <w:szCs w:val="24"/>
          <w:vertAlign w:val="superscript"/>
        </w:rPr>
        <w:t>re</w:t>
      </w:r>
      <w:r w:rsidR="009A2EE2" w:rsidRPr="001F231F">
        <w:rPr>
          <w:rFonts w:asciiTheme="minorHAnsi" w:hAnsiTheme="minorHAnsi" w:cstheme="minorHAnsi"/>
          <w:szCs w:val="24"/>
        </w:rPr>
        <w:t xml:space="preserve"> fois en 2019, les cyclistes et les conducteurs d’Engins de déplacement (EDP) motorisés (trottinettes électriques …)</w:t>
      </w:r>
      <w:r w:rsidR="001F231F">
        <w:rPr>
          <w:rFonts w:asciiTheme="minorHAnsi" w:hAnsiTheme="minorHAnsi" w:cstheme="minorHAnsi"/>
          <w:szCs w:val="24"/>
        </w:rPr>
        <w:t xml:space="preserve">. </w:t>
      </w:r>
      <w:r w:rsidR="00F451AF" w:rsidRPr="001F231F">
        <w:rPr>
          <w:rFonts w:asciiTheme="minorHAnsi" w:hAnsiTheme="minorHAnsi" w:cstheme="minorHAnsi"/>
          <w:szCs w:val="24"/>
        </w:rPr>
        <w:t>Les chiffres ne distinguent pas non plus les utilisateurs quotidiens de leur bicyclette (études, travail …) des cyclistes sportifs ou de loisirs.</w:t>
      </w:r>
    </w:p>
    <w:p w14:paraId="2C5E6236" w14:textId="41A9BE84" w:rsidR="00BD00CE" w:rsidRPr="001F231F" w:rsidRDefault="00BD00CE" w:rsidP="002262D9">
      <w:pPr>
        <w:pStyle w:val="Titre2"/>
      </w:pPr>
      <w:r w:rsidRPr="002262D9">
        <w:t>Résultats</w:t>
      </w:r>
    </w:p>
    <w:p w14:paraId="27FEA459" w14:textId="37D69880" w:rsidR="00782C93" w:rsidRPr="001F231F" w:rsidRDefault="00073F4A" w:rsidP="00782C93">
      <w:pPr>
        <w:rPr>
          <w:rFonts w:asciiTheme="minorHAnsi" w:hAnsiTheme="minorHAnsi" w:cstheme="minorHAnsi"/>
          <w:szCs w:val="24"/>
        </w:rPr>
      </w:pPr>
      <w:r w:rsidRPr="001F231F">
        <w:rPr>
          <w:rFonts w:asciiTheme="minorHAnsi" w:hAnsiTheme="minorHAnsi" w:cstheme="minorHAnsi"/>
          <w:szCs w:val="24"/>
        </w:rPr>
        <w:t xml:space="preserve">Dans un contexte de baisse de la mortalité routière depuis 10 ans, </w:t>
      </w:r>
      <w:r w:rsidR="00782C93" w:rsidRPr="001F231F">
        <w:rPr>
          <w:rFonts w:asciiTheme="minorHAnsi" w:hAnsiTheme="minorHAnsi" w:cstheme="minorHAnsi"/>
          <w:szCs w:val="24"/>
        </w:rPr>
        <w:t xml:space="preserve">l’ONISR a enregistré </w:t>
      </w:r>
      <w:r w:rsidR="001F231F">
        <w:rPr>
          <w:rFonts w:asciiTheme="minorHAnsi" w:hAnsiTheme="minorHAnsi" w:cstheme="minorHAnsi"/>
          <w:szCs w:val="24"/>
        </w:rPr>
        <w:t xml:space="preserve">en 2019, </w:t>
      </w:r>
      <w:r w:rsidR="00782C93" w:rsidRPr="001F231F">
        <w:rPr>
          <w:rFonts w:asciiTheme="minorHAnsi" w:hAnsiTheme="minorHAnsi" w:cstheme="minorHAnsi"/>
          <w:szCs w:val="24"/>
        </w:rPr>
        <w:t>197 cyclistes</w:t>
      </w:r>
      <w:r w:rsidR="00F65797">
        <w:rPr>
          <w:rStyle w:val="Appelnotedebasdep"/>
          <w:rFonts w:asciiTheme="minorHAnsi" w:hAnsiTheme="minorHAnsi" w:cstheme="minorHAnsi"/>
          <w:szCs w:val="24"/>
        </w:rPr>
        <w:footnoteReference w:id="1"/>
      </w:r>
      <w:r w:rsidR="00782C93" w:rsidRPr="001F231F">
        <w:rPr>
          <w:rFonts w:asciiTheme="minorHAnsi" w:hAnsiTheme="minorHAnsi" w:cstheme="minorHAnsi"/>
          <w:szCs w:val="24"/>
        </w:rPr>
        <w:t xml:space="preserve"> tués et 5060 </w:t>
      </w:r>
      <w:r w:rsidR="00782C93" w:rsidRPr="00FC202F">
        <w:rPr>
          <w:rFonts w:asciiTheme="minorHAnsi" w:hAnsiTheme="minorHAnsi" w:cstheme="minorHAnsi"/>
          <w:strike/>
          <w:szCs w:val="24"/>
        </w:rPr>
        <w:t>cyclistes</w:t>
      </w:r>
      <w:r w:rsidR="00782C93" w:rsidRPr="001F231F">
        <w:rPr>
          <w:rFonts w:asciiTheme="minorHAnsi" w:hAnsiTheme="minorHAnsi" w:cstheme="minorHAnsi"/>
          <w:szCs w:val="24"/>
        </w:rPr>
        <w:t xml:space="preserve"> blessés sur les routes. Ces chiffres sont en hausse, respectivement de 12,6% et de 16,9%</w:t>
      </w:r>
      <w:r w:rsidR="009A2EE2" w:rsidRPr="001F231F">
        <w:rPr>
          <w:rFonts w:asciiTheme="minorHAnsi" w:hAnsiTheme="minorHAnsi" w:cstheme="minorHAnsi"/>
          <w:szCs w:val="24"/>
        </w:rPr>
        <w:t xml:space="preserve"> par rapport à 2018</w:t>
      </w:r>
      <w:r w:rsidR="00782C93" w:rsidRPr="001F231F">
        <w:rPr>
          <w:rFonts w:asciiTheme="minorHAnsi" w:hAnsiTheme="minorHAnsi" w:cstheme="minorHAnsi"/>
          <w:szCs w:val="24"/>
        </w:rPr>
        <w:t>, alors que la morbi-mortalité routière générale est relativement stable : -0,1% pour les tués et +0,9% pour les blessés.</w:t>
      </w:r>
      <w:r w:rsidR="00F65797">
        <w:rPr>
          <w:rFonts w:asciiTheme="minorHAnsi" w:hAnsiTheme="minorHAnsi" w:cstheme="minorHAnsi"/>
          <w:szCs w:val="24"/>
        </w:rPr>
        <w:t xml:space="preserve"> Par rapport à 2018, il y a eu 22 tués et 732 blessés de plus en 2019 parmi les c</w:t>
      </w:r>
      <w:r w:rsidR="00F65797" w:rsidRPr="00F65797">
        <w:rPr>
          <w:rFonts w:asciiTheme="minorHAnsi" w:hAnsiTheme="minorHAnsi" w:cstheme="minorHAnsi"/>
          <w:szCs w:val="24"/>
        </w:rPr>
        <w:t>yclistes et usagers d’engins de déplacement motorisés</w:t>
      </w:r>
      <w:r w:rsidR="00F65797">
        <w:rPr>
          <w:rFonts w:asciiTheme="minorHAnsi" w:hAnsiTheme="minorHAnsi" w:cstheme="minorHAnsi"/>
          <w:szCs w:val="24"/>
        </w:rPr>
        <w:t>.</w:t>
      </w:r>
    </w:p>
    <w:p w14:paraId="05773388" w14:textId="1586F037" w:rsidR="009A2EE2" w:rsidRPr="001F231F" w:rsidRDefault="00082B4F" w:rsidP="00782C93">
      <w:pPr>
        <w:rPr>
          <w:rFonts w:asciiTheme="minorHAnsi" w:hAnsiTheme="minorHAnsi" w:cstheme="minorHAnsi"/>
          <w:szCs w:val="24"/>
        </w:rPr>
      </w:pPr>
      <w:r>
        <w:rPr>
          <w:rFonts w:asciiTheme="minorHAnsi" w:hAnsiTheme="minorHAnsi" w:cstheme="minorHAnsi"/>
          <w:szCs w:val="24"/>
        </w:rPr>
        <w:t>Sur une période plus longue (de 2010 à 2019), le nombre de cyclistes tués connaît une hausse de 34,0% et celui des blessés de 27,5%.</w:t>
      </w:r>
    </w:p>
    <w:p w14:paraId="4792CFBB" w14:textId="1254E789" w:rsidR="00DE0153" w:rsidRPr="001F231F" w:rsidRDefault="009A2EE2" w:rsidP="00DE0153">
      <w:pPr>
        <w:rPr>
          <w:rFonts w:asciiTheme="minorHAnsi" w:hAnsiTheme="minorHAnsi" w:cstheme="minorHAnsi"/>
          <w:szCs w:val="24"/>
          <w:lang w:eastAsia="en-US"/>
        </w:rPr>
      </w:pPr>
      <w:r w:rsidRPr="001F231F">
        <w:rPr>
          <w:rFonts w:asciiTheme="minorHAnsi" w:hAnsiTheme="minorHAnsi" w:cstheme="minorHAnsi"/>
          <w:szCs w:val="24"/>
        </w:rPr>
        <w:t>Sur l’ensemble des personnes décédées sur la route, les cyclistes représentaient 5% des tués hors agglomération et 9% en agglomération.</w:t>
      </w:r>
      <w:r w:rsidR="00DE0153" w:rsidRPr="001F231F">
        <w:rPr>
          <w:rFonts w:asciiTheme="minorHAnsi" w:hAnsiTheme="minorHAnsi" w:cstheme="minorHAnsi"/>
          <w:szCs w:val="24"/>
        </w:rPr>
        <w:t xml:space="preserve"> </w:t>
      </w:r>
      <w:r w:rsidR="00DE0153" w:rsidRPr="001F231F">
        <w:rPr>
          <w:rFonts w:asciiTheme="minorHAnsi" w:hAnsiTheme="minorHAnsi" w:cstheme="minorHAnsi"/>
          <w:szCs w:val="24"/>
          <w:lang w:eastAsia="en-US"/>
        </w:rPr>
        <w:t xml:space="preserve">Parmi les 197 tués en vélo ou EDPM, 47 se </w:t>
      </w:r>
      <w:r w:rsidR="00F65797">
        <w:rPr>
          <w:rFonts w:asciiTheme="minorHAnsi" w:hAnsiTheme="minorHAnsi" w:cstheme="minorHAnsi"/>
          <w:szCs w:val="24"/>
          <w:lang w:eastAsia="en-US"/>
        </w:rPr>
        <w:t>sont tués</w:t>
      </w:r>
      <w:r w:rsidR="00DE0153" w:rsidRPr="001F231F">
        <w:rPr>
          <w:rFonts w:asciiTheme="minorHAnsi" w:hAnsiTheme="minorHAnsi" w:cstheme="minorHAnsi"/>
          <w:szCs w:val="24"/>
          <w:lang w:eastAsia="en-US"/>
        </w:rPr>
        <w:t xml:space="preserve"> sans tiers (25,8% - cf. fig. 1).</w:t>
      </w:r>
    </w:p>
    <w:p w14:paraId="310E5518" w14:textId="46E1BAB2" w:rsidR="008D165A" w:rsidRPr="001F231F" w:rsidRDefault="00DE0153" w:rsidP="00050841">
      <w:pPr>
        <w:rPr>
          <w:rFonts w:asciiTheme="minorHAnsi" w:hAnsiTheme="minorHAnsi" w:cstheme="minorHAnsi"/>
          <w:szCs w:val="24"/>
          <w:lang w:eastAsia="en-US"/>
        </w:rPr>
      </w:pPr>
      <w:r w:rsidRPr="001F231F">
        <w:rPr>
          <w:rFonts w:asciiTheme="minorHAnsi" w:hAnsiTheme="minorHAnsi" w:cstheme="minorHAnsi"/>
          <w:noProof/>
          <w:szCs w:val="24"/>
        </w:rPr>
        <w:lastRenderedPageBreak/>
        <mc:AlternateContent>
          <mc:Choice Requires="wps">
            <w:drawing>
              <wp:anchor distT="45720" distB="45720" distL="114300" distR="114300" simplePos="0" relativeHeight="251662336" behindDoc="0" locked="0" layoutInCell="1" allowOverlap="1" wp14:anchorId="1B478BDE" wp14:editId="26A99F75">
                <wp:simplePos x="0" y="0"/>
                <wp:positionH relativeFrom="column">
                  <wp:posOffset>2661285</wp:posOffset>
                </wp:positionH>
                <wp:positionV relativeFrom="paragraph">
                  <wp:posOffset>75261</wp:posOffset>
                </wp:positionV>
                <wp:extent cx="3013075" cy="2671445"/>
                <wp:effectExtent l="0" t="0" r="15875" b="1460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671445"/>
                        </a:xfrm>
                        <a:prstGeom prst="rect">
                          <a:avLst/>
                        </a:prstGeom>
                        <a:solidFill>
                          <a:srgbClr val="FFFFFF"/>
                        </a:solidFill>
                        <a:ln w="9525">
                          <a:solidFill>
                            <a:srgbClr val="000000"/>
                          </a:solidFill>
                          <a:miter lim="800000"/>
                          <a:headEnd/>
                          <a:tailEnd/>
                        </a:ln>
                      </wps:spPr>
                      <wps:txbx>
                        <w:txbxContent>
                          <w:p w14:paraId="2A17FEBA" w14:textId="6E43E7B8" w:rsidR="000B077B" w:rsidRDefault="000B077B" w:rsidP="000B077B">
                            <w:pPr>
                              <w:pStyle w:val="Lgende"/>
                              <w:rPr>
                                <w:lang w:eastAsia="en-US"/>
                              </w:rPr>
                            </w:pPr>
                            <w:r>
                              <w:t xml:space="preserve">Figure </w:t>
                            </w:r>
                            <w:r w:rsidR="005705DB">
                              <w:fldChar w:fldCharType="begin"/>
                            </w:r>
                            <w:r w:rsidR="005705DB">
                              <w:instrText xml:space="preserve"> SEQ Figure \* A</w:instrText>
                            </w:r>
                            <w:r w:rsidR="005705DB">
                              <w:instrText xml:space="preserve">RABIC </w:instrText>
                            </w:r>
                            <w:r w:rsidR="005705DB">
                              <w:fldChar w:fldCharType="separate"/>
                            </w:r>
                            <w:r>
                              <w:rPr>
                                <w:noProof/>
                              </w:rPr>
                              <w:t>2</w:t>
                            </w:r>
                            <w:r w:rsidR="005705DB">
                              <w:rPr>
                                <w:noProof/>
                              </w:rPr>
                              <w:fldChar w:fldCharType="end"/>
                            </w:r>
                            <w:r>
                              <w:t xml:space="preserve">. Nombre de cyclistes tués et blessés sur les routes départementales hors agglomération selon leur âge. </w:t>
                            </w:r>
                            <w:r w:rsidR="00DE0153">
                              <w:t xml:space="preserve">2019. </w:t>
                            </w:r>
                            <w:r>
                              <w:t>N1=4504 ; N2=187.</w:t>
                            </w:r>
                          </w:p>
                          <w:p w14:paraId="5A807A37" w14:textId="43B571CB" w:rsidR="000B077B" w:rsidRDefault="000B077B" w:rsidP="000B077B">
                            <w:pPr>
                              <w:jc w:val="center"/>
                            </w:pPr>
                            <w:r>
                              <w:rPr>
                                <w:noProof/>
                              </w:rPr>
                              <w:drawing>
                                <wp:inline distT="0" distB="0" distL="0" distR="0" wp14:anchorId="22DB53A3" wp14:editId="16A4AFFB">
                                  <wp:extent cx="2917659" cy="2059305"/>
                                  <wp:effectExtent l="0" t="0" r="16510" b="1714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478BDE" id="_x0000_t202" coordsize="21600,21600" o:spt="202" path="m,l,21600r21600,l21600,xe">
                <v:stroke joinstyle="miter"/>
                <v:path gradientshapeok="t" o:connecttype="rect"/>
              </v:shapetype>
              <v:shape id="Zone de texte 2" o:spid="_x0000_s1026" type="#_x0000_t202" style="position:absolute;left:0;text-align:left;margin-left:209.55pt;margin-top:5.95pt;width:237.25pt;height:210.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">
                <v:textbox>
                  <w:txbxContent>
                    <w:p w14:paraId="2A17FEBA" w14:textId="6E43E7B8" w:rsidR="000B077B" w:rsidRDefault="000B077B" w:rsidP="000B077B">
                      <w:pPr>
                        <w:pStyle w:val="Lgende"/>
                        <w:rPr>
                          <w:lang w:eastAsia="en-US"/>
                        </w:rPr>
                      </w:pPr>
                      <w:r>
                        <w:t xml:space="preserve">Figure </w:t>
                      </w:r>
                      <w:fldSimple w:instr=" SEQ Figure \* ARABIC ">
                        <w:r>
                          <w:rPr>
                            <w:noProof/>
                          </w:rPr>
                          <w:t>2</w:t>
                        </w:r>
                      </w:fldSimple>
                      <w:r>
                        <w:t xml:space="preserve">. Nombre de cyclistes tués et blessés sur les routes départementales hors agglomération selon leur âge. </w:t>
                      </w:r>
                      <w:r w:rsidR="00DE0153">
                        <w:t xml:space="preserve">2019. </w:t>
                      </w:r>
                      <w:r>
                        <w:t>N1=4504 ; N2=187.</w:t>
                      </w:r>
                    </w:p>
                    <w:p w14:paraId="5A807A37" w14:textId="43B571CB" w:rsidR="000B077B" w:rsidRDefault="000B077B" w:rsidP="000B077B">
                      <w:pPr>
                        <w:jc w:val="center"/>
                      </w:pPr>
                      <w:r>
                        <w:rPr>
                          <w:noProof/>
                        </w:rPr>
                        <w:drawing>
                          <wp:inline distT="0" distB="0" distL="0" distR="0" wp14:anchorId="22DB53A3" wp14:editId="16A4AFFB">
                            <wp:extent cx="2917659" cy="2059305"/>
                            <wp:effectExtent l="0" t="0" r="16510" b="1714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w10:wrap type="square"/>
              </v:shape>
            </w:pict>
          </mc:Fallback>
        </mc:AlternateContent>
      </w:r>
      <w:r w:rsidRPr="001F231F">
        <w:rPr>
          <w:rFonts w:asciiTheme="minorHAnsi" w:hAnsiTheme="minorHAnsi" w:cstheme="minorHAnsi"/>
          <w:noProof/>
          <w:szCs w:val="24"/>
        </w:rPr>
        <mc:AlternateContent>
          <mc:Choice Requires="wps">
            <w:drawing>
              <wp:anchor distT="45720" distB="45720" distL="114300" distR="114300" simplePos="0" relativeHeight="251660288" behindDoc="0" locked="0" layoutInCell="1" allowOverlap="1" wp14:anchorId="215F43B5" wp14:editId="544E8DF5">
                <wp:simplePos x="0" y="0"/>
                <wp:positionH relativeFrom="column">
                  <wp:posOffset>14605</wp:posOffset>
                </wp:positionH>
                <wp:positionV relativeFrom="paragraph">
                  <wp:posOffset>82191</wp:posOffset>
                </wp:positionV>
                <wp:extent cx="2647315" cy="2671445"/>
                <wp:effectExtent l="0" t="0" r="19685"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2671445"/>
                        </a:xfrm>
                        <a:prstGeom prst="rect">
                          <a:avLst/>
                        </a:prstGeom>
                        <a:solidFill>
                          <a:srgbClr val="FFFFFF"/>
                        </a:solidFill>
                        <a:ln w="9525">
                          <a:solidFill>
                            <a:srgbClr val="000000"/>
                          </a:solidFill>
                          <a:miter lim="800000"/>
                          <a:headEnd/>
                          <a:tailEnd/>
                        </a:ln>
                      </wps:spPr>
                      <wps:txbx>
                        <w:txbxContent>
                          <w:p w14:paraId="3CF26BF4" w14:textId="08AAEFE0" w:rsidR="00F451AF" w:rsidRDefault="00F451AF" w:rsidP="00F451AF">
                            <w:pPr>
                              <w:pStyle w:val="Lgende"/>
                            </w:pPr>
                            <w:r>
                              <w:t xml:space="preserve">Figure </w:t>
                            </w:r>
                            <w:r w:rsidR="005705DB">
                              <w:fldChar w:fldCharType="begin"/>
                            </w:r>
                            <w:r w:rsidR="005705DB">
                              <w:instrText xml:space="preserve"> SEQ Figure \* ARABIC </w:instrText>
                            </w:r>
                            <w:r w:rsidR="005705DB">
                              <w:fldChar w:fldCharType="separate"/>
                            </w:r>
                            <w:r w:rsidR="000B077B">
                              <w:rPr>
                                <w:noProof/>
                              </w:rPr>
                              <w:t>1</w:t>
                            </w:r>
                            <w:r w:rsidR="005705DB">
                              <w:rPr>
                                <w:noProof/>
                              </w:rPr>
                              <w:fldChar w:fldCharType="end"/>
                            </w:r>
                            <w:r>
                              <w:t xml:space="preserve">. Nombre de cyclistes* tués selon les tiers engagés. </w:t>
                            </w:r>
                            <w:r w:rsidR="00DE0153">
                              <w:t xml:space="preserve">2019. </w:t>
                            </w:r>
                            <w:r>
                              <w:t>N=197.</w:t>
                            </w:r>
                          </w:p>
                          <w:p w14:paraId="3257AEDB" w14:textId="097659F5" w:rsidR="00F451AF" w:rsidRDefault="00F451AF" w:rsidP="00F451AF">
                            <w:pPr>
                              <w:jc w:val="center"/>
                            </w:pPr>
                            <w:r>
                              <w:rPr>
                                <w:noProof/>
                              </w:rPr>
                              <w:drawing>
                                <wp:inline distT="0" distB="0" distL="0" distR="0" wp14:anchorId="1C65B6B7" wp14:editId="008B7780">
                                  <wp:extent cx="2449001" cy="2098506"/>
                                  <wp:effectExtent l="0" t="0" r="8890" b="1651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5F43B5" id="_x0000_s1027" type="#_x0000_t202" style="position:absolute;left:0;text-align:left;margin-left:1.15pt;margin-top:6.45pt;width:208.45pt;height:210.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">
                <v:textbox>
                  <w:txbxContent>
                    <w:p w14:paraId="3CF26BF4" w14:textId="08AAEFE0" w:rsidR="00F451AF" w:rsidRDefault="00F451AF" w:rsidP="00F451AF">
                      <w:pPr>
                        <w:pStyle w:val="Lgende"/>
                      </w:pPr>
                      <w:r>
                        <w:t xml:space="preserve">Figure </w:t>
                      </w:r>
                      <w:fldSimple w:instr=" SEQ Figure \* ARABIC ">
                        <w:r w:rsidR="000B077B">
                          <w:rPr>
                            <w:noProof/>
                          </w:rPr>
                          <w:t>1</w:t>
                        </w:r>
                      </w:fldSimple>
                      <w:r>
                        <w:t xml:space="preserve">. Nombre de cyclistes* tués selon les tiers engagés. </w:t>
                      </w:r>
                      <w:r w:rsidR="00DE0153">
                        <w:t xml:space="preserve">2019. </w:t>
                      </w:r>
                      <w:r>
                        <w:t>N=197.</w:t>
                      </w:r>
                    </w:p>
                    <w:p w14:paraId="3257AEDB" w14:textId="097659F5" w:rsidR="00F451AF" w:rsidRDefault="00F451AF" w:rsidP="00F451AF">
                      <w:pPr>
                        <w:jc w:val="center"/>
                      </w:pPr>
                      <w:r>
                        <w:rPr>
                          <w:noProof/>
                        </w:rPr>
                        <w:drawing>
                          <wp:inline distT="0" distB="0" distL="0" distR="0" wp14:anchorId="1C65B6B7" wp14:editId="008B7780">
                            <wp:extent cx="2449001" cy="2098506"/>
                            <wp:effectExtent l="0" t="0" r="8890" b="1651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w10:wrap type="square"/>
              </v:shape>
            </w:pict>
          </mc:Fallback>
        </mc:AlternateContent>
      </w:r>
    </w:p>
    <w:p w14:paraId="6B188FBC" w14:textId="2246B74F" w:rsidR="001B1B60" w:rsidRPr="001F231F" w:rsidRDefault="006921C5" w:rsidP="001F231F">
      <w:pPr>
        <w:rPr>
          <w:rFonts w:asciiTheme="minorHAnsi" w:hAnsiTheme="minorHAnsi" w:cstheme="minorHAnsi"/>
          <w:b/>
        </w:rPr>
      </w:pPr>
      <w:r w:rsidRPr="001F231F">
        <w:rPr>
          <w:rFonts w:asciiTheme="minorHAnsi" w:hAnsiTheme="minorHAnsi" w:cstheme="minorHAnsi"/>
          <w:b/>
        </w:rPr>
        <w:t>Facteurs de risque</w:t>
      </w:r>
    </w:p>
    <w:p w14:paraId="7231909A" w14:textId="36E333E7" w:rsidR="0052155A" w:rsidRPr="001F231F" w:rsidRDefault="001F231F" w:rsidP="0052155A">
      <w:pPr>
        <w:rPr>
          <w:rFonts w:asciiTheme="minorHAnsi" w:hAnsiTheme="minorHAnsi" w:cstheme="minorHAnsi"/>
          <w:szCs w:val="24"/>
          <w:lang w:eastAsia="en-US"/>
        </w:rPr>
      </w:pPr>
      <w:r>
        <w:rPr>
          <w:rFonts w:asciiTheme="minorHAnsi" w:hAnsiTheme="minorHAnsi" w:cstheme="minorHAnsi"/>
          <w:szCs w:val="24"/>
          <w:lang w:eastAsia="en-US"/>
        </w:rPr>
        <w:t>2/3</w:t>
      </w:r>
      <w:r w:rsidR="00073F4A" w:rsidRPr="001F231F">
        <w:rPr>
          <w:rFonts w:asciiTheme="minorHAnsi" w:hAnsiTheme="minorHAnsi" w:cstheme="minorHAnsi"/>
          <w:szCs w:val="24"/>
          <w:lang w:eastAsia="en-US"/>
        </w:rPr>
        <w:t xml:space="preserve"> des </w:t>
      </w:r>
      <w:r w:rsidR="0052155A" w:rsidRPr="001F231F">
        <w:rPr>
          <w:rFonts w:asciiTheme="minorHAnsi" w:hAnsiTheme="minorHAnsi" w:cstheme="minorHAnsi"/>
          <w:szCs w:val="24"/>
          <w:lang w:eastAsia="en-US"/>
        </w:rPr>
        <w:t>tués </w:t>
      </w:r>
      <w:r w:rsidR="00073F4A" w:rsidRPr="001F231F">
        <w:rPr>
          <w:rFonts w:asciiTheme="minorHAnsi" w:hAnsiTheme="minorHAnsi" w:cstheme="minorHAnsi"/>
          <w:szCs w:val="24"/>
          <w:lang w:eastAsia="en-US"/>
        </w:rPr>
        <w:t>à vélo ont</w:t>
      </w:r>
      <w:r w:rsidR="0052155A" w:rsidRPr="001F231F">
        <w:rPr>
          <w:rFonts w:asciiTheme="minorHAnsi" w:hAnsiTheme="minorHAnsi" w:cstheme="minorHAnsi"/>
          <w:szCs w:val="24"/>
          <w:lang w:eastAsia="en-US"/>
        </w:rPr>
        <w:t xml:space="preserve"> </w:t>
      </w:r>
      <w:r>
        <w:rPr>
          <w:rFonts w:asciiTheme="minorHAnsi" w:hAnsiTheme="minorHAnsi" w:cstheme="minorHAnsi"/>
          <w:szCs w:val="24"/>
          <w:lang w:eastAsia="en-US"/>
        </w:rPr>
        <w:t>plus de 55 ans</w:t>
      </w:r>
      <w:r w:rsidR="00073F4A" w:rsidRPr="001F231F">
        <w:rPr>
          <w:rFonts w:asciiTheme="minorHAnsi" w:hAnsiTheme="minorHAnsi" w:cstheme="minorHAnsi"/>
          <w:szCs w:val="24"/>
          <w:lang w:eastAsia="en-US"/>
        </w:rPr>
        <w:t xml:space="preserve">. </w:t>
      </w:r>
      <w:r w:rsidR="0052155A" w:rsidRPr="001F231F">
        <w:rPr>
          <w:rFonts w:asciiTheme="minorHAnsi" w:hAnsiTheme="minorHAnsi" w:cstheme="minorHAnsi"/>
          <w:szCs w:val="24"/>
          <w:lang w:eastAsia="en-US"/>
        </w:rPr>
        <w:t>60% des blessés et tués </w:t>
      </w:r>
      <w:r w:rsidR="00073F4A" w:rsidRPr="001F231F">
        <w:rPr>
          <w:rFonts w:asciiTheme="minorHAnsi" w:hAnsiTheme="minorHAnsi" w:cstheme="minorHAnsi"/>
          <w:szCs w:val="24"/>
          <w:lang w:eastAsia="en-US"/>
        </w:rPr>
        <w:t>l’ont été lors d’un</w:t>
      </w:r>
      <w:r w:rsidR="0052155A" w:rsidRPr="001F231F">
        <w:rPr>
          <w:rFonts w:asciiTheme="minorHAnsi" w:hAnsiTheme="minorHAnsi" w:cstheme="minorHAnsi"/>
          <w:szCs w:val="24"/>
          <w:lang w:eastAsia="en-US"/>
        </w:rPr>
        <w:t xml:space="preserve"> trajet de loisir</w:t>
      </w:r>
      <w:r w:rsidR="00073F4A" w:rsidRPr="001F231F">
        <w:rPr>
          <w:rFonts w:asciiTheme="minorHAnsi" w:hAnsiTheme="minorHAnsi" w:cstheme="minorHAnsi"/>
          <w:szCs w:val="24"/>
          <w:lang w:eastAsia="en-US"/>
        </w:rPr>
        <w:t> ; cette proportion est plus élevée durant les beaux jours (</w:t>
      </w:r>
      <w:r w:rsidR="00193B89" w:rsidRPr="001F231F">
        <w:rPr>
          <w:rFonts w:asciiTheme="minorHAnsi" w:hAnsiTheme="minorHAnsi" w:cstheme="minorHAnsi"/>
          <w:szCs w:val="24"/>
          <w:lang w:eastAsia="en-US"/>
        </w:rPr>
        <w:t>77</w:t>
      </w:r>
      <w:r w:rsidR="00073F4A" w:rsidRPr="001F231F">
        <w:rPr>
          <w:rFonts w:asciiTheme="minorHAnsi" w:hAnsiTheme="minorHAnsi" w:cstheme="minorHAnsi"/>
          <w:szCs w:val="24"/>
          <w:lang w:eastAsia="en-US"/>
        </w:rPr>
        <w:t>%</w:t>
      </w:r>
      <w:r w:rsidR="00193B89" w:rsidRPr="001F231F">
        <w:rPr>
          <w:rFonts w:asciiTheme="minorHAnsi" w:hAnsiTheme="minorHAnsi" w:cstheme="minorHAnsi"/>
          <w:szCs w:val="24"/>
          <w:lang w:eastAsia="en-US"/>
        </w:rPr>
        <w:t xml:space="preserve"> en août</w:t>
      </w:r>
      <w:r>
        <w:rPr>
          <w:rFonts w:asciiTheme="minorHAnsi" w:hAnsiTheme="minorHAnsi" w:cstheme="minorHAnsi"/>
          <w:szCs w:val="24"/>
          <w:lang w:eastAsia="en-US"/>
        </w:rPr>
        <w:t xml:space="preserve"> contre</w:t>
      </w:r>
      <w:r w:rsidR="00073F4A" w:rsidRPr="001F231F">
        <w:rPr>
          <w:rFonts w:asciiTheme="minorHAnsi" w:hAnsiTheme="minorHAnsi" w:cstheme="minorHAnsi"/>
          <w:szCs w:val="24"/>
          <w:lang w:eastAsia="en-US"/>
        </w:rPr>
        <w:t xml:space="preserve"> 45% en novembre). La saisonnalité est également retrouvée </w:t>
      </w:r>
      <w:r w:rsidR="00F451AF" w:rsidRPr="001F231F">
        <w:rPr>
          <w:rFonts w:asciiTheme="minorHAnsi" w:hAnsiTheme="minorHAnsi" w:cstheme="minorHAnsi"/>
          <w:szCs w:val="24"/>
          <w:lang w:eastAsia="en-US"/>
        </w:rPr>
        <w:t>dans les chiffres mensuels des victimes en 2 roues ; on en recense 488 victimes</w:t>
      </w:r>
      <w:r>
        <w:rPr>
          <w:rFonts w:asciiTheme="minorHAnsi" w:hAnsiTheme="minorHAnsi" w:cstheme="minorHAnsi"/>
          <w:szCs w:val="24"/>
          <w:lang w:eastAsia="en-US"/>
        </w:rPr>
        <w:t xml:space="preserve"> par mois de juin à septembre contre</w:t>
      </w:r>
      <w:r w:rsidR="00F451AF" w:rsidRPr="001F231F">
        <w:rPr>
          <w:rFonts w:asciiTheme="minorHAnsi" w:hAnsiTheme="minorHAnsi" w:cstheme="minorHAnsi"/>
          <w:szCs w:val="24"/>
          <w:lang w:eastAsia="en-US"/>
        </w:rPr>
        <w:t xml:space="preserve"> 291 de novembre à janvier.</w:t>
      </w:r>
    </w:p>
    <w:p w14:paraId="0E736A5C" w14:textId="0E2660DA" w:rsidR="00D41F3A" w:rsidRPr="001F231F" w:rsidRDefault="00073F4A" w:rsidP="0052155A">
      <w:pPr>
        <w:rPr>
          <w:rFonts w:asciiTheme="minorHAnsi" w:hAnsiTheme="minorHAnsi" w:cstheme="minorHAnsi"/>
          <w:szCs w:val="24"/>
          <w:lang w:eastAsia="en-US"/>
        </w:rPr>
      </w:pPr>
      <w:r w:rsidRPr="001F231F">
        <w:rPr>
          <w:rFonts w:asciiTheme="minorHAnsi" w:hAnsiTheme="minorHAnsi" w:cstheme="minorHAnsi"/>
          <w:szCs w:val="24"/>
          <w:lang w:eastAsia="en-US"/>
        </w:rPr>
        <w:t xml:space="preserve">Près de 9 cyclistes tués sur 10 sont des </w:t>
      </w:r>
      <w:commentRangeStart w:id="3"/>
      <w:commentRangeStart w:id="4"/>
      <w:r w:rsidRPr="001F231F">
        <w:rPr>
          <w:rFonts w:asciiTheme="minorHAnsi" w:hAnsiTheme="minorHAnsi" w:cstheme="minorHAnsi"/>
          <w:szCs w:val="24"/>
          <w:lang w:eastAsia="en-US"/>
        </w:rPr>
        <w:t>hommes</w:t>
      </w:r>
      <w:commentRangeEnd w:id="3"/>
      <w:r w:rsidR="00FC202F">
        <w:rPr>
          <w:rStyle w:val="Marquedecommentaire"/>
        </w:rPr>
        <w:commentReference w:id="3"/>
      </w:r>
      <w:commentRangeEnd w:id="4"/>
      <w:r w:rsidR="00D939B5">
        <w:rPr>
          <w:rStyle w:val="Marquedecommentaire"/>
        </w:rPr>
        <w:commentReference w:id="4"/>
      </w:r>
      <w:r w:rsidR="00082B4F">
        <w:rPr>
          <w:rFonts w:asciiTheme="minorHAnsi" w:hAnsiTheme="minorHAnsi" w:cstheme="minorHAnsi"/>
          <w:szCs w:val="24"/>
          <w:lang w:eastAsia="en-US"/>
        </w:rPr>
        <w:t> ; plus nombreux que les femmes à rouler en deux roues, ils ont également une propension plus élevée qu’elles à prendre des risques</w:t>
      </w:r>
      <w:r w:rsidR="000A351A">
        <w:rPr>
          <w:rFonts w:asciiTheme="minorHAnsi" w:hAnsiTheme="minorHAnsi" w:cstheme="minorHAnsi"/>
          <w:szCs w:val="24"/>
          <w:lang w:eastAsia="en-US"/>
        </w:rPr>
        <w:t>, sur la route comme ailleurs</w:t>
      </w:r>
      <w:r w:rsidR="00082B4F">
        <w:rPr>
          <w:rFonts w:asciiTheme="minorHAnsi" w:hAnsiTheme="minorHAnsi" w:cstheme="minorHAnsi"/>
          <w:szCs w:val="24"/>
          <w:lang w:eastAsia="en-US"/>
        </w:rPr>
        <w:t>.</w:t>
      </w:r>
      <w:r w:rsidRPr="001F231F">
        <w:rPr>
          <w:rFonts w:asciiTheme="minorHAnsi" w:hAnsiTheme="minorHAnsi" w:cstheme="minorHAnsi"/>
          <w:szCs w:val="24"/>
          <w:lang w:eastAsia="en-US"/>
        </w:rPr>
        <w:t xml:space="preserve"> </w:t>
      </w:r>
      <w:r w:rsidR="00D41F3A" w:rsidRPr="001F231F">
        <w:rPr>
          <w:rFonts w:asciiTheme="minorHAnsi" w:hAnsiTheme="minorHAnsi" w:cstheme="minorHAnsi"/>
          <w:szCs w:val="24"/>
          <w:lang w:eastAsia="en-US"/>
        </w:rPr>
        <w:t>La gravité hors agglomération est 6 fois plus élevée qu’en agglo</w:t>
      </w:r>
      <w:r w:rsidRPr="001F231F">
        <w:rPr>
          <w:rFonts w:asciiTheme="minorHAnsi" w:hAnsiTheme="minorHAnsi" w:cstheme="minorHAnsi"/>
          <w:szCs w:val="24"/>
          <w:lang w:eastAsia="en-US"/>
        </w:rPr>
        <w:t>mération.</w:t>
      </w:r>
      <w:r w:rsidR="00DE0153" w:rsidRPr="001F231F">
        <w:rPr>
          <w:rFonts w:asciiTheme="minorHAnsi" w:hAnsiTheme="minorHAnsi" w:cstheme="minorHAnsi"/>
          <w:szCs w:val="24"/>
          <w:lang w:eastAsia="en-US"/>
        </w:rPr>
        <w:t xml:space="preserve"> </w:t>
      </w:r>
      <w:r w:rsidR="00F451AF" w:rsidRPr="001F231F">
        <w:rPr>
          <w:rFonts w:asciiTheme="minorHAnsi" w:hAnsiTheme="minorHAnsi" w:cstheme="minorHAnsi"/>
          <w:szCs w:val="24"/>
          <w:lang w:eastAsia="en-US"/>
        </w:rPr>
        <w:t>Plus d’un cycliste tué ou blessé sur la route (21%) l’est la nuit.</w:t>
      </w:r>
      <w:r w:rsidR="00D41F3A" w:rsidRPr="001F231F">
        <w:rPr>
          <w:rFonts w:asciiTheme="minorHAnsi" w:hAnsiTheme="minorHAnsi" w:cstheme="minorHAnsi"/>
          <w:szCs w:val="24"/>
          <w:lang w:eastAsia="en-US"/>
        </w:rPr>
        <w:t xml:space="preserve"> </w:t>
      </w:r>
    </w:p>
    <w:p w14:paraId="7561C92C" w14:textId="0192845E" w:rsidR="00DE0153" w:rsidRPr="001F231F" w:rsidRDefault="00193B89" w:rsidP="00DE0153">
      <w:pPr>
        <w:rPr>
          <w:rFonts w:asciiTheme="minorHAnsi" w:hAnsiTheme="minorHAnsi" w:cstheme="minorHAnsi"/>
          <w:szCs w:val="24"/>
          <w:lang w:eastAsia="en-US"/>
        </w:rPr>
      </w:pPr>
      <w:r w:rsidRPr="001F231F">
        <w:rPr>
          <w:rFonts w:asciiTheme="minorHAnsi" w:hAnsiTheme="minorHAnsi" w:cstheme="minorHAnsi"/>
          <w:szCs w:val="24"/>
          <w:lang w:eastAsia="en-US"/>
        </w:rPr>
        <w:t>Le casque est actuellement porté par 26% des cyclistes en semaine et 36% le week-end, 34% en agglomération, 69% hors agglo</w:t>
      </w:r>
      <w:r w:rsidR="00F451AF" w:rsidRPr="001F231F">
        <w:rPr>
          <w:rFonts w:asciiTheme="minorHAnsi" w:hAnsiTheme="minorHAnsi" w:cstheme="minorHAnsi"/>
          <w:szCs w:val="24"/>
          <w:lang w:eastAsia="en-US"/>
        </w:rPr>
        <w:t>mération</w:t>
      </w:r>
      <w:r w:rsidRPr="001F231F">
        <w:rPr>
          <w:rFonts w:asciiTheme="minorHAnsi" w:hAnsiTheme="minorHAnsi" w:cstheme="minorHAnsi"/>
          <w:szCs w:val="24"/>
          <w:lang w:eastAsia="en-US"/>
        </w:rPr>
        <w:t xml:space="preserve"> (sportifs)</w:t>
      </w:r>
      <w:r w:rsidR="00F451AF" w:rsidRPr="001F231F">
        <w:rPr>
          <w:rFonts w:asciiTheme="minorHAnsi" w:hAnsiTheme="minorHAnsi" w:cstheme="minorHAnsi"/>
          <w:szCs w:val="24"/>
          <w:lang w:eastAsia="en-US"/>
        </w:rPr>
        <w:t>.</w:t>
      </w:r>
      <w:r w:rsidR="00DE0153" w:rsidRPr="001F231F">
        <w:rPr>
          <w:rFonts w:asciiTheme="minorHAnsi" w:hAnsiTheme="minorHAnsi" w:cstheme="minorHAnsi"/>
          <w:szCs w:val="24"/>
          <w:lang w:eastAsia="en-US"/>
        </w:rPr>
        <w:t xml:space="preserve"> En cas de chute sur une portière qui s’ouvre, le port du casque permet de diviser par 2 le risque de fracture du crâne, et par 3 en cas de heurt latéral par un</w:t>
      </w:r>
      <w:r w:rsidR="00D939B5">
        <w:rPr>
          <w:rFonts w:asciiTheme="minorHAnsi" w:hAnsiTheme="minorHAnsi" w:cstheme="minorHAnsi"/>
          <w:szCs w:val="24"/>
          <w:lang w:eastAsia="en-US"/>
        </w:rPr>
        <w:t xml:space="preserve">e voiture </w:t>
      </w:r>
      <w:r w:rsidR="00DE0153" w:rsidRPr="001F231F">
        <w:rPr>
          <w:rFonts w:asciiTheme="minorHAnsi" w:hAnsiTheme="minorHAnsi" w:cstheme="minorHAnsi"/>
          <w:szCs w:val="24"/>
          <w:lang w:eastAsia="en-US"/>
        </w:rPr>
        <w:t>roulant à 45km/h</w:t>
      </w:r>
      <w:r w:rsidR="002477FC">
        <w:rPr>
          <w:rFonts w:asciiTheme="minorHAnsi" w:hAnsiTheme="minorHAnsi" w:cstheme="minorHAnsi"/>
          <w:szCs w:val="24"/>
          <w:lang w:eastAsia="en-US"/>
        </w:rPr>
        <w:t xml:space="preserve"> </w:t>
      </w:r>
      <w:r w:rsidR="002477FC">
        <w:rPr>
          <w:rFonts w:asciiTheme="minorHAnsi" w:hAnsiTheme="minorHAnsi" w:cstheme="minorHAnsi"/>
          <w:szCs w:val="24"/>
          <w:lang w:eastAsia="en-US"/>
        </w:rPr>
        <w:fldChar w:fldCharType="begin"/>
      </w:r>
      <w:r w:rsidR="002477FC">
        <w:rPr>
          <w:rFonts w:asciiTheme="minorHAnsi" w:hAnsiTheme="minorHAnsi" w:cstheme="minorHAnsi"/>
          <w:szCs w:val="24"/>
          <w:lang w:eastAsia="en-US"/>
        </w:rPr>
        <w:instrText xml:space="preserve"> ADDIN ZOTERO_ITEM CSL_CITATION {"citationID":"NYaI2woH","properties":{"formattedCitation":"(4)","plainCitation":"(4)","noteIndex":0},"citationItems":[{"id":4774,"uris":["http://zotero.org/users/2384352/items/GCQ5MXHT"],"uri":["http://zotero.org/users/2384352/items/GCQ5MXHT"],"itemData":{"id":4774,"type":"report","title":"Project TEVU (Tête vulnérable).  Note de synthèse sur les traumatismes crâniens et leurs séquelles","URL":"https://www.onisr.securite-routiere.gouv.fr/sites/default/files/2019-03/rapport%20de%20l%27%C3%A9tude%20T%C3%AAtes%20Vuln%C3%A9rables.pdf","author":[{"family":"Deck","given":"Caroline"},{"family":"Willinger","given":"Rémy"}],"issued":{"date-parts":[["2017",5]]}}}],"schema":"https://github.com/citation-style-language/schema/raw/master/csl-citation.json"} </w:instrText>
      </w:r>
      <w:r w:rsidR="002477FC">
        <w:rPr>
          <w:rFonts w:asciiTheme="minorHAnsi" w:hAnsiTheme="minorHAnsi" w:cstheme="minorHAnsi"/>
          <w:szCs w:val="24"/>
          <w:lang w:eastAsia="en-US"/>
        </w:rPr>
        <w:fldChar w:fldCharType="separate"/>
      </w:r>
      <w:r w:rsidR="002477FC" w:rsidRPr="002477FC">
        <w:rPr>
          <w:rFonts w:cs="Calibri"/>
        </w:rPr>
        <w:t>(4)</w:t>
      </w:r>
      <w:r w:rsidR="002477FC">
        <w:rPr>
          <w:rFonts w:asciiTheme="minorHAnsi" w:hAnsiTheme="minorHAnsi" w:cstheme="minorHAnsi"/>
          <w:szCs w:val="24"/>
          <w:lang w:eastAsia="en-US"/>
        </w:rPr>
        <w:fldChar w:fldCharType="end"/>
      </w:r>
      <w:r w:rsidR="00DE0153" w:rsidRPr="001F231F">
        <w:rPr>
          <w:rFonts w:asciiTheme="minorHAnsi" w:hAnsiTheme="minorHAnsi" w:cstheme="minorHAnsi"/>
          <w:szCs w:val="24"/>
          <w:lang w:eastAsia="en-US"/>
        </w:rPr>
        <w:t>.</w:t>
      </w:r>
    </w:p>
    <w:p w14:paraId="355E4DB1" w14:textId="59A06579" w:rsidR="008F0F2F" w:rsidRDefault="008F0F2F" w:rsidP="0052155A">
      <w:pPr>
        <w:rPr>
          <w:rFonts w:asciiTheme="minorHAnsi" w:hAnsiTheme="minorHAnsi" w:cstheme="minorHAnsi"/>
          <w:szCs w:val="24"/>
          <w:lang w:eastAsia="en-US"/>
        </w:rPr>
      </w:pPr>
      <w:r w:rsidRPr="001F231F">
        <w:rPr>
          <w:rFonts w:asciiTheme="minorHAnsi" w:hAnsiTheme="minorHAnsi" w:cstheme="minorHAnsi"/>
          <w:szCs w:val="24"/>
          <w:lang w:eastAsia="en-US"/>
        </w:rPr>
        <w:t>11% des 214 cyclistes impliqués dans un accident mortel présentaient un taux d’alcool supérieur à 0,5g/l</w:t>
      </w:r>
      <w:r w:rsidR="00444EB6">
        <w:rPr>
          <w:rFonts w:asciiTheme="minorHAnsi" w:hAnsiTheme="minorHAnsi" w:cstheme="minorHAnsi"/>
          <w:szCs w:val="24"/>
          <w:lang w:eastAsia="en-US"/>
        </w:rPr>
        <w:t>.</w:t>
      </w:r>
    </w:p>
    <w:p w14:paraId="0406E7EC" w14:textId="33B26C50" w:rsidR="007E6179" w:rsidRPr="001F231F" w:rsidRDefault="00B814EA" w:rsidP="002262D9">
      <w:pPr>
        <w:pStyle w:val="Titre2"/>
      </w:pPr>
      <w:r w:rsidRPr="002262D9">
        <w:t>Discussion</w:t>
      </w:r>
      <w:r w:rsidRPr="001F231F">
        <w:t xml:space="preserve"> </w:t>
      </w:r>
    </w:p>
    <w:p w14:paraId="70C36EC6" w14:textId="647196E5" w:rsidR="00782C93" w:rsidRPr="001F231F" w:rsidRDefault="00782C93" w:rsidP="00782C93">
      <w:pPr>
        <w:rPr>
          <w:rFonts w:asciiTheme="minorHAnsi" w:hAnsiTheme="minorHAnsi" w:cstheme="minorHAnsi"/>
          <w:szCs w:val="24"/>
        </w:rPr>
      </w:pPr>
      <w:r w:rsidRPr="001F231F">
        <w:rPr>
          <w:rFonts w:asciiTheme="minorHAnsi" w:hAnsiTheme="minorHAnsi" w:cstheme="minorHAnsi"/>
          <w:szCs w:val="24"/>
        </w:rPr>
        <w:t xml:space="preserve">Dans un contexte de baisse de l’accidentalité routière d’ensemble, </w:t>
      </w:r>
      <w:r w:rsidRPr="000A351A">
        <w:t>le nombre de cyclistes tués et blessés augmente en 2019, notamment du fait de la hausse de la pratique du vélo, en ville ou hors agglomération (cyclisme sportif</w:t>
      </w:r>
      <w:r w:rsidR="00511025" w:rsidRPr="001F231F">
        <w:rPr>
          <w:rFonts w:asciiTheme="minorHAnsi" w:hAnsiTheme="minorHAnsi" w:cstheme="minorHAnsi"/>
          <w:szCs w:val="24"/>
        </w:rPr>
        <w:t xml:space="preserve"> ou de loisir</w:t>
      </w:r>
      <w:r w:rsidRPr="001F231F">
        <w:rPr>
          <w:rFonts w:asciiTheme="minorHAnsi" w:hAnsiTheme="minorHAnsi" w:cstheme="minorHAnsi"/>
          <w:szCs w:val="24"/>
        </w:rPr>
        <w:t>).</w:t>
      </w:r>
    </w:p>
    <w:p w14:paraId="5EF200C4" w14:textId="02F56B43" w:rsidR="00201DF1" w:rsidRPr="001F231F" w:rsidRDefault="00201DF1" w:rsidP="00201DF1">
      <w:pPr>
        <w:rPr>
          <w:rFonts w:asciiTheme="minorHAnsi" w:hAnsiTheme="minorHAnsi" w:cstheme="minorHAnsi"/>
          <w:szCs w:val="24"/>
        </w:rPr>
      </w:pPr>
      <w:r w:rsidRPr="001F231F">
        <w:rPr>
          <w:rFonts w:asciiTheme="minorHAnsi" w:hAnsiTheme="minorHAnsi" w:cstheme="minorHAnsi"/>
          <w:szCs w:val="24"/>
        </w:rPr>
        <w:t>La létalité</w:t>
      </w:r>
      <w:r w:rsidR="00132D41">
        <w:rPr>
          <w:rStyle w:val="Appelnotedebasdep"/>
          <w:rFonts w:asciiTheme="minorHAnsi" w:hAnsiTheme="minorHAnsi" w:cstheme="minorHAnsi"/>
          <w:szCs w:val="24"/>
        </w:rPr>
        <w:footnoteReference w:id="2"/>
      </w:r>
      <w:r w:rsidRPr="001F231F">
        <w:rPr>
          <w:rFonts w:asciiTheme="minorHAnsi" w:hAnsiTheme="minorHAnsi" w:cstheme="minorHAnsi"/>
          <w:szCs w:val="24"/>
        </w:rPr>
        <w:t xml:space="preserve"> des accidents impliquant des usagers non protégés (piétons, cyclistes et </w:t>
      </w:r>
      <w:r w:rsidR="001B1B60" w:rsidRPr="001F231F">
        <w:rPr>
          <w:rFonts w:asciiTheme="minorHAnsi" w:hAnsiTheme="minorHAnsi" w:cstheme="minorHAnsi"/>
          <w:szCs w:val="24"/>
        </w:rPr>
        <w:t>deux-roues motorisés</w:t>
      </w:r>
      <w:r w:rsidRPr="001F231F">
        <w:rPr>
          <w:rFonts w:asciiTheme="minorHAnsi" w:hAnsiTheme="minorHAnsi" w:cstheme="minorHAnsi"/>
          <w:szCs w:val="24"/>
        </w:rPr>
        <w:t>) est beaucoup plus élevée</w:t>
      </w:r>
      <w:r w:rsidR="001B1B60" w:rsidRPr="001F231F">
        <w:rPr>
          <w:rFonts w:asciiTheme="minorHAnsi" w:hAnsiTheme="minorHAnsi" w:cstheme="minorHAnsi"/>
          <w:szCs w:val="24"/>
        </w:rPr>
        <w:t>.</w:t>
      </w:r>
      <w:r w:rsidR="00527B94" w:rsidRPr="001F231F">
        <w:rPr>
          <w:rFonts w:asciiTheme="minorHAnsi" w:hAnsiTheme="minorHAnsi" w:cstheme="minorHAnsi"/>
          <w:szCs w:val="24"/>
        </w:rPr>
        <w:t xml:space="preserve"> </w:t>
      </w:r>
      <w:r w:rsidR="000A351A">
        <w:rPr>
          <w:rFonts w:asciiTheme="minorHAnsi" w:hAnsiTheme="minorHAnsi" w:cstheme="minorHAnsi"/>
          <w:szCs w:val="24"/>
        </w:rPr>
        <w:t xml:space="preserve">Tandis </w:t>
      </w:r>
      <w:r w:rsidR="00527B94" w:rsidRPr="001F231F">
        <w:rPr>
          <w:rFonts w:asciiTheme="minorHAnsi" w:hAnsiTheme="minorHAnsi" w:cstheme="minorHAnsi"/>
          <w:szCs w:val="24"/>
        </w:rPr>
        <w:t>que la sécurité des véhicules à moteur de quatre roues ne cesse de s’améliorer, l</w:t>
      </w:r>
      <w:r w:rsidR="00FC202F">
        <w:rPr>
          <w:rFonts w:asciiTheme="minorHAnsi" w:hAnsiTheme="minorHAnsi" w:cstheme="minorHAnsi"/>
          <w:szCs w:val="24"/>
        </w:rPr>
        <w:t>a vulnérabilité des piét</w:t>
      </w:r>
      <w:r w:rsidR="00527B94" w:rsidRPr="001F231F">
        <w:rPr>
          <w:rFonts w:asciiTheme="minorHAnsi" w:hAnsiTheme="minorHAnsi" w:cstheme="minorHAnsi"/>
          <w:szCs w:val="24"/>
        </w:rPr>
        <w:t xml:space="preserve">ons et cyclistes </w:t>
      </w:r>
      <w:r w:rsidR="00F77D77" w:rsidRPr="001F231F">
        <w:rPr>
          <w:rFonts w:asciiTheme="minorHAnsi" w:hAnsiTheme="minorHAnsi" w:cstheme="minorHAnsi"/>
          <w:szCs w:val="24"/>
        </w:rPr>
        <w:t xml:space="preserve">est </w:t>
      </w:r>
      <w:r w:rsidR="00527B94" w:rsidRPr="001F231F">
        <w:rPr>
          <w:rFonts w:asciiTheme="minorHAnsi" w:hAnsiTheme="minorHAnsi" w:cstheme="minorHAnsi"/>
          <w:szCs w:val="24"/>
        </w:rPr>
        <w:t>rest</w:t>
      </w:r>
      <w:r w:rsidR="00F77D77" w:rsidRPr="001F231F">
        <w:rPr>
          <w:rFonts w:asciiTheme="minorHAnsi" w:hAnsiTheme="minorHAnsi" w:cstheme="minorHAnsi"/>
          <w:szCs w:val="24"/>
        </w:rPr>
        <w:t>é</w:t>
      </w:r>
      <w:r w:rsidR="00527B94" w:rsidRPr="001F231F">
        <w:rPr>
          <w:rFonts w:asciiTheme="minorHAnsi" w:hAnsiTheme="minorHAnsi" w:cstheme="minorHAnsi"/>
          <w:szCs w:val="24"/>
        </w:rPr>
        <w:t>e identique.</w:t>
      </w:r>
    </w:p>
    <w:p w14:paraId="4A3BCF3B" w14:textId="7BA535C1" w:rsidR="00511025" w:rsidRPr="001F231F" w:rsidRDefault="000A351A" w:rsidP="00F451AF">
      <w:pPr>
        <w:rPr>
          <w:rFonts w:asciiTheme="minorHAnsi" w:hAnsiTheme="minorHAnsi" w:cstheme="minorHAnsi"/>
          <w:szCs w:val="24"/>
          <w:lang w:eastAsia="en-US"/>
        </w:rPr>
      </w:pPr>
      <w:r>
        <w:rPr>
          <w:rFonts w:asciiTheme="minorHAnsi" w:hAnsiTheme="minorHAnsi" w:cstheme="minorHAnsi"/>
          <w:szCs w:val="24"/>
          <w:lang w:eastAsia="en-US"/>
        </w:rPr>
        <w:t>L</w:t>
      </w:r>
      <w:r w:rsidR="00511025" w:rsidRPr="001F231F">
        <w:rPr>
          <w:rFonts w:asciiTheme="minorHAnsi" w:hAnsiTheme="minorHAnsi" w:cstheme="minorHAnsi"/>
          <w:szCs w:val="24"/>
          <w:lang w:eastAsia="en-US"/>
        </w:rPr>
        <w:t>es véhicules à moteur constituent le 1</w:t>
      </w:r>
      <w:r w:rsidR="00511025" w:rsidRPr="001F231F">
        <w:rPr>
          <w:rFonts w:asciiTheme="minorHAnsi" w:hAnsiTheme="minorHAnsi" w:cstheme="minorHAnsi"/>
          <w:szCs w:val="24"/>
          <w:vertAlign w:val="superscript"/>
          <w:lang w:eastAsia="en-US"/>
        </w:rPr>
        <w:t>er</w:t>
      </w:r>
      <w:r w:rsidR="00511025" w:rsidRPr="001F231F">
        <w:rPr>
          <w:rFonts w:asciiTheme="minorHAnsi" w:hAnsiTheme="minorHAnsi" w:cstheme="minorHAnsi"/>
          <w:szCs w:val="24"/>
          <w:lang w:eastAsia="en-US"/>
        </w:rPr>
        <w:t xml:space="preserve"> type de véhicule impliqué dans les décès routiers des cyclistes, </w:t>
      </w:r>
      <w:r>
        <w:rPr>
          <w:rFonts w:asciiTheme="minorHAnsi" w:hAnsiTheme="minorHAnsi" w:cstheme="minorHAnsi"/>
          <w:szCs w:val="24"/>
          <w:lang w:eastAsia="en-US"/>
        </w:rPr>
        <w:t xml:space="preserve">mais </w:t>
      </w:r>
      <w:r w:rsidR="00511025" w:rsidRPr="001F231F">
        <w:rPr>
          <w:rFonts w:asciiTheme="minorHAnsi" w:hAnsiTheme="minorHAnsi" w:cstheme="minorHAnsi"/>
          <w:szCs w:val="24"/>
          <w:lang w:eastAsia="en-US"/>
        </w:rPr>
        <w:t xml:space="preserve">il convient </w:t>
      </w:r>
      <w:r w:rsidRPr="001F231F">
        <w:rPr>
          <w:rFonts w:asciiTheme="minorHAnsi" w:hAnsiTheme="minorHAnsi" w:cstheme="minorHAnsi"/>
          <w:szCs w:val="24"/>
          <w:lang w:eastAsia="en-US"/>
        </w:rPr>
        <w:t xml:space="preserve">également </w:t>
      </w:r>
      <w:r w:rsidR="00511025" w:rsidRPr="001F231F">
        <w:rPr>
          <w:rFonts w:asciiTheme="minorHAnsi" w:hAnsiTheme="minorHAnsi" w:cstheme="minorHAnsi"/>
          <w:szCs w:val="24"/>
          <w:lang w:eastAsia="en-US"/>
        </w:rPr>
        <w:t xml:space="preserve">de souligner </w:t>
      </w:r>
      <w:r w:rsidR="00CC2FF9">
        <w:rPr>
          <w:rFonts w:asciiTheme="minorHAnsi" w:hAnsiTheme="minorHAnsi" w:cstheme="minorHAnsi"/>
          <w:szCs w:val="24"/>
          <w:lang w:eastAsia="en-US"/>
        </w:rPr>
        <w:t>qu</w:t>
      </w:r>
      <w:r w:rsidR="00082B4F">
        <w:rPr>
          <w:rFonts w:asciiTheme="minorHAnsi" w:hAnsiTheme="minorHAnsi" w:cstheme="minorHAnsi"/>
          <w:szCs w:val="24"/>
          <w:lang w:eastAsia="en-US"/>
        </w:rPr>
        <w:t xml:space="preserve">’un quart </w:t>
      </w:r>
      <w:r w:rsidR="00511025" w:rsidRPr="001F231F">
        <w:rPr>
          <w:rFonts w:asciiTheme="minorHAnsi" w:hAnsiTheme="minorHAnsi" w:cstheme="minorHAnsi"/>
          <w:szCs w:val="24"/>
          <w:lang w:eastAsia="en-US"/>
        </w:rPr>
        <w:t>d’entre eux se tue sans tiers, ce qui plaide pour des mesures individuelles de protection comme le casque</w:t>
      </w:r>
      <w:r w:rsidR="002262D9">
        <w:rPr>
          <w:rFonts w:asciiTheme="minorHAnsi" w:hAnsiTheme="minorHAnsi" w:cstheme="minorHAnsi"/>
          <w:szCs w:val="24"/>
          <w:lang w:eastAsia="en-US"/>
        </w:rPr>
        <w:t xml:space="preserve">. </w:t>
      </w:r>
      <w:r w:rsidR="002262D9" w:rsidRPr="002262D9">
        <w:rPr>
          <w:rFonts w:asciiTheme="minorHAnsi" w:hAnsiTheme="minorHAnsi" w:cstheme="minorHAnsi"/>
          <w:szCs w:val="24"/>
          <w:lang w:eastAsia="en-US"/>
        </w:rPr>
        <w:t xml:space="preserve">Dans une revue de la littérature scientifique reprise dans la synthèse publiée en 2019 par Santé publique </w:t>
      </w:r>
      <w:r w:rsidR="002262D9">
        <w:rPr>
          <w:rFonts w:asciiTheme="minorHAnsi" w:hAnsiTheme="minorHAnsi" w:cstheme="minorHAnsi"/>
          <w:szCs w:val="24"/>
          <w:lang w:eastAsia="en-US"/>
        </w:rPr>
        <w:t xml:space="preserve">France </w:t>
      </w:r>
      <w:r w:rsidR="002262D9">
        <w:rPr>
          <w:rFonts w:asciiTheme="minorHAnsi" w:hAnsiTheme="minorHAnsi" w:cstheme="minorHAnsi"/>
          <w:szCs w:val="24"/>
          <w:lang w:eastAsia="en-US"/>
        </w:rPr>
        <w:lastRenderedPageBreak/>
        <w:fldChar w:fldCharType="begin"/>
      </w:r>
      <w:r w:rsidR="002262D9">
        <w:rPr>
          <w:rFonts w:asciiTheme="minorHAnsi" w:hAnsiTheme="minorHAnsi" w:cstheme="minorHAnsi"/>
          <w:szCs w:val="24"/>
          <w:lang w:eastAsia="en-US"/>
        </w:rPr>
        <w:instrText xml:space="preserve"> ADDIN ZOTERO_ITEM CSL_CITATION {"citationID":"u6PDU5FC","properties":{"formattedCitation":"(5)","plainCitation":"(5)","noteIndex":0},"citationItems":[{"id":4775,"uris":["http://zotero.org/users/2384352/items/UNKZTVM3"],"uri":["http://zotero.org/users/2384352/items/UNKZTVM3"],"itemData":{"id":4775,"type":"report","abstract":"L’usage du vélo est extrêmement répandu dans tous les pays du globe. En France, plus de la moitié des 15-75 ans pratique le vélo au moins une fois par an. Son utilisation est la conséquence de plusieurs facteurs : économiques (vélo en libre-service de coût d’utilisation modéré), écologiques (alternative non polluante), ou comportementaux (vélo de loisir, permettant une activité physique). Mais l’usage du vélo comporte aussi des risques d’accident. Pour s’en tenir aux seuls accidents mortels, la sécurité routière recense environ 160 décès liés à l’usage du vélo en France, chaque année, et ce chiffre semble augmenter.\nSanté publique France, a décidé de faire réaliser une synthèse bibliographique des publications scientifiques sur :\n-L’épidémiologie des accidents de vélo : circonstances de survenue d’usage individuel etcollectif, incidence, gravité et caractéristiques sociodémographiques des accidentés.\n-Les stratégies de prévention pour éviter ces accidents en détaillant leur nature (individuelle,collective) et les actions mises en oeuvre pour leur réalisation et leur impact.\nCe travail est essentiellement centré sur la France et les pays de développement comparable depuis 1990. Les facteurs de risque identifiés dans la littérature sont principalement des facteurs comportementaux (prise de risque, consommation d’alcool), des facteurs associés aux infrastructures routières (pistes cyclables, vitesse des véhicules motorisés), ou encore des facteurs associés au matériel (mauvais entretien du vélo, absence d’éclairage). D’autres facteurs tels que l’absence de port d’un casque, le gabarit des véhicules motorisés, ou la consommation d’alcool sont associés à une plus grande sévérité des accidents. Des programmes d’éducation et de formation ont montré leur efficacité, notamment chez les plus jeunes, dans la prévention de la survenue d’accidents. La présence de pistes cyclables semble diminuer le risque de collision avec un autre véhicule, la complexité des marquages au sol ou de certaines intersections venant minorer les potentiels bénéfices. Les données de la littérature montrent que le port d’un casque réduit de manière significative la sévérité d’un traumatisme crânien en cas d’accident. La législation française a récemment rendu obligatoire le port du casque à vélo chez les enfants de moins de 12 ans. Une évaluation de l'impact de cette mesure précédera son éventuelle généralisation aux adultes. Devant la place grandissante du vélo, la question de la sécurité des cyclistes est essentielle, et une réflexion multifactorielle est nécessaire afin d’envisager des solutions efficaces, reposant sur des évaluations scientifiques et des bilans bénéfices-risques, aux niveaux individuels et sociétaux, des sécurités mises en oeuvre pour éviter des traumatismes graves.","event-place":"Saint-Maurice","page":"50","publisher":"Santé publique France","publisher-place":"Saint-Maurice","title":"Épidémiologie des accidents de vélo et stratégies de prévention pour les éviter. Synthèse bibliographique en France et dans les pays de développement comparable, 1990-2016","URL":"https://www.santepubliquefrance.fr/recherche/#search=%C3%89pid%C3%A9miologie%20des%20accidents%20de%20v%C3%A9lo%20et%20strat%C3%A9gies%20de%20pr%C3%A9vention%20pour%20les%20%C3%A9viter.%20Synth%C3%A8se%20bibliographique%20en%20France%20et%20dans%20les%20pays%20de%20d%C3%A9veloppement%20comparable,%201990-2016","issued":{"date-parts":[["2019",5]]}}}],"schema":"https://github.com/citation-style-language/schema/raw/master/csl-citation.json"} </w:instrText>
      </w:r>
      <w:r w:rsidR="002262D9">
        <w:rPr>
          <w:rFonts w:asciiTheme="minorHAnsi" w:hAnsiTheme="minorHAnsi" w:cstheme="minorHAnsi"/>
          <w:szCs w:val="24"/>
          <w:lang w:eastAsia="en-US"/>
        </w:rPr>
        <w:fldChar w:fldCharType="separate"/>
      </w:r>
      <w:r w:rsidR="002262D9" w:rsidRPr="002262D9">
        <w:rPr>
          <w:rFonts w:cs="Calibri"/>
        </w:rPr>
        <w:t>(5)</w:t>
      </w:r>
      <w:r w:rsidR="002262D9">
        <w:rPr>
          <w:rFonts w:asciiTheme="minorHAnsi" w:hAnsiTheme="minorHAnsi" w:cstheme="minorHAnsi"/>
          <w:szCs w:val="24"/>
          <w:lang w:eastAsia="en-US"/>
        </w:rPr>
        <w:fldChar w:fldCharType="end"/>
      </w:r>
      <w:r w:rsidR="002262D9" w:rsidRPr="002262D9">
        <w:rPr>
          <w:rFonts w:asciiTheme="minorHAnsi" w:hAnsiTheme="minorHAnsi" w:cstheme="minorHAnsi"/>
          <w:szCs w:val="24"/>
          <w:lang w:eastAsia="en-US"/>
        </w:rPr>
        <w:t>, une métaanalyse portant sur 64 000 cyclistes accidentés a permis d’établir un effet protecteur significatif du casque dans la prévention des blessures à la tête (OR</w:t>
      </w:r>
      <w:r w:rsidR="002262D9">
        <w:rPr>
          <w:rStyle w:val="Appelnotedebasdep"/>
          <w:rFonts w:asciiTheme="minorHAnsi" w:hAnsiTheme="minorHAnsi" w:cstheme="minorHAnsi"/>
          <w:szCs w:val="24"/>
          <w:lang w:eastAsia="en-US"/>
        </w:rPr>
        <w:footnoteReference w:id="3"/>
      </w:r>
      <w:r w:rsidR="002262D9" w:rsidRPr="002262D9">
        <w:rPr>
          <w:rFonts w:asciiTheme="minorHAnsi" w:hAnsiTheme="minorHAnsi" w:cstheme="minorHAnsi"/>
          <w:szCs w:val="24"/>
          <w:lang w:eastAsia="en-US"/>
        </w:rPr>
        <w:t xml:space="preserve"> =0,49 [0,42-0,57]), des blessures graves à la tête (OR=0,31 [0,25-0,37]), des traumatismes de la face (OR=0,67 [0,56-0,81]) et des traumatismes crâniens responsables du décès du cycliste (OR=0,35 [0,14-0,88]).</w:t>
      </w:r>
      <w:r w:rsidR="00CC2FF9">
        <w:rPr>
          <w:rFonts w:asciiTheme="minorHAnsi" w:hAnsiTheme="minorHAnsi" w:cstheme="minorHAnsi"/>
          <w:szCs w:val="24"/>
          <w:lang w:eastAsia="en-US"/>
        </w:rPr>
        <w:t xml:space="preserve"> </w:t>
      </w:r>
      <w:r w:rsidR="002262D9">
        <w:rPr>
          <w:rFonts w:asciiTheme="minorHAnsi" w:hAnsiTheme="minorHAnsi" w:cstheme="minorHAnsi"/>
          <w:szCs w:val="24"/>
          <w:lang w:eastAsia="en-US"/>
        </w:rPr>
        <w:t>L</w:t>
      </w:r>
      <w:r w:rsidR="00FC202F" w:rsidRPr="00C32CD8">
        <w:t>es équipements de haute visibilité (réflecteurs, lumières, gilet rétroréfléchissant, etc)</w:t>
      </w:r>
      <w:r w:rsidR="002262D9">
        <w:rPr>
          <w:rFonts w:asciiTheme="minorHAnsi" w:hAnsiTheme="minorHAnsi" w:cstheme="minorHAnsi"/>
          <w:szCs w:val="24"/>
          <w:lang w:eastAsia="en-US"/>
        </w:rPr>
        <w:t xml:space="preserve"> doivent être plus systématiquement adoptés,</w:t>
      </w:r>
      <w:r>
        <w:rPr>
          <w:rFonts w:asciiTheme="minorHAnsi" w:hAnsiTheme="minorHAnsi" w:cstheme="minorHAnsi"/>
          <w:szCs w:val="24"/>
          <w:lang w:eastAsia="en-US"/>
        </w:rPr>
        <w:t xml:space="preserve"> </w:t>
      </w:r>
      <w:r w:rsidR="002262D9">
        <w:rPr>
          <w:rFonts w:asciiTheme="minorHAnsi" w:hAnsiTheme="minorHAnsi" w:cstheme="minorHAnsi"/>
          <w:szCs w:val="24"/>
          <w:lang w:eastAsia="en-US"/>
        </w:rPr>
        <w:t xml:space="preserve">en particulier </w:t>
      </w:r>
      <w:r>
        <w:rPr>
          <w:rFonts w:asciiTheme="minorHAnsi" w:hAnsiTheme="minorHAnsi" w:cstheme="minorHAnsi"/>
          <w:szCs w:val="24"/>
          <w:lang w:eastAsia="en-US"/>
        </w:rPr>
        <w:t xml:space="preserve">la nuit, durant laquelle </w:t>
      </w:r>
      <w:r w:rsidR="002262D9">
        <w:rPr>
          <w:rFonts w:asciiTheme="minorHAnsi" w:hAnsiTheme="minorHAnsi" w:cstheme="minorHAnsi"/>
          <w:szCs w:val="24"/>
          <w:lang w:eastAsia="en-US"/>
        </w:rPr>
        <w:t xml:space="preserve">sont enregistrés </w:t>
      </w:r>
      <w:r>
        <w:rPr>
          <w:rFonts w:asciiTheme="minorHAnsi" w:hAnsiTheme="minorHAnsi" w:cstheme="minorHAnsi"/>
          <w:szCs w:val="24"/>
          <w:lang w:eastAsia="en-US"/>
        </w:rPr>
        <w:t>plus d’un cinquième des accidents blessant ou tuant des cyclistes.</w:t>
      </w:r>
    </w:p>
    <w:p w14:paraId="22D4F7A9" w14:textId="386178C8" w:rsidR="00511025" w:rsidRPr="001F231F" w:rsidRDefault="00511025" w:rsidP="001F231F">
      <w:pPr>
        <w:rPr>
          <w:rFonts w:asciiTheme="minorHAnsi" w:hAnsiTheme="minorHAnsi" w:cstheme="minorHAnsi"/>
          <w:b/>
        </w:rPr>
      </w:pPr>
      <w:r w:rsidRPr="001F231F">
        <w:rPr>
          <w:rFonts w:asciiTheme="minorHAnsi" w:hAnsiTheme="minorHAnsi" w:cstheme="minorHAnsi"/>
          <w:b/>
        </w:rPr>
        <w:t>Limite de la source</w:t>
      </w:r>
    </w:p>
    <w:p w14:paraId="7B659DC3" w14:textId="358F2A35" w:rsidR="001B1B60" w:rsidRDefault="001B1B60" w:rsidP="00201DF1">
      <w:pPr>
        <w:rPr>
          <w:rFonts w:asciiTheme="minorHAnsi" w:hAnsiTheme="minorHAnsi" w:cstheme="minorHAnsi"/>
          <w:szCs w:val="24"/>
        </w:rPr>
      </w:pPr>
      <w:r w:rsidRPr="001F231F">
        <w:rPr>
          <w:rFonts w:asciiTheme="minorHAnsi" w:hAnsiTheme="minorHAnsi" w:cstheme="minorHAnsi"/>
          <w:szCs w:val="24"/>
        </w:rPr>
        <w:t>Les blessés en deux-roues sont sous-enregistrés, surtout lorsque les accidents n’impliquent aucun tiers.</w:t>
      </w:r>
      <w:r w:rsidR="00511025" w:rsidRPr="001F231F">
        <w:rPr>
          <w:rFonts w:asciiTheme="minorHAnsi" w:hAnsiTheme="minorHAnsi" w:cstheme="minorHAnsi"/>
          <w:szCs w:val="24"/>
        </w:rPr>
        <w:t xml:space="preserve"> Il n’est donc pas exclu que leur nombre </w:t>
      </w:r>
      <w:r w:rsidR="00DE0153" w:rsidRPr="001F231F">
        <w:rPr>
          <w:rFonts w:asciiTheme="minorHAnsi" w:hAnsiTheme="minorHAnsi" w:cstheme="minorHAnsi"/>
          <w:szCs w:val="24"/>
        </w:rPr>
        <w:t>soit</w:t>
      </w:r>
      <w:r w:rsidR="00511025" w:rsidRPr="001F231F">
        <w:rPr>
          <w:rFonts w:asciiTheme="minorHAnsi" w:hAnsiTheme="minorHAnsi" w:cstheme="minorHAnsi"/>
          <w:szCs w:val="24"/>
        </w:rPr>
        <w:t xml:space="preserve"> sous-estimé.</w:t>
      </w:r>
    </w:p>
    <w:p w14:paraId="3763C96F" w14:textId="3C534344" w:rsidR="00B814EA" w:rsidRPr="001F231F" w:rsidRDefault="00B814EA" w:rsidP="002262D9">
      <w:pPr>
        <w:pStyle w:val="Titre2"/>
      </w:pPr>
      <w:r w:rsidRPr="002262D9">
        <w:t>Conclusion</w:t>
      </w:r>
      <w:r w:rsidRPr="001F231F">
        <w:t xml:space="preserve"> </w:t>
      </w:r>
    </w:p>
    <w:p w14:paraId="6148643D" w14:textId="62179B6A" w:rsidR="00B814EA" w:rsidRDefault="00F77D77" w:rsidP="00B814EA">
      <w:pPr>
        <w:rPr>
          <w:rFonts w:asciiTheme="minorHAnsi" w:hAnsiTheme="minorHAnsi" w:cstheme="minorHAnsi"/>
          <w:szCs w:val="24"/>
        </w:rPr>
      </w:pPr>
      <w:r w:rsidRPr="001F231F">
        <w:rPr>
          <w:rFonts w:asciiTheme="minorHAnsi" w:hAnsiTheme="minorHAnsi" w:cstheme="minorHAnsi"/>
          <w:szCs w:val="24"/>
        </w:rPr>
        <w:t>La</w:t>
      </w:r>
      <w:r w:rsidR="00B814EA" w:rsidRPr="001F231F">
        <w:rPr>
          <w:rFonts w:asciiTheme="minorHAnsi" w:hAnsiTheme="minorHAnsi" w:cstheme="minorHAnsi"/>
          <w:szCs w:val="24"/>
        </w:rPr>
        <w:t xml:space="preserve"> hausse de l’accidentologie cycliste</w:t>
      </w:r>
      <w:r w:rsidR="000B077B" w:rsidRPr="001F231F">
        <w:rPr>
          <w:rFonts w:asciiTheme="minorHAnsi" w:hAnsiTheme="minorHAnsi" w:cstheme="minorHAnsi"/>
          <w:szCs w:val="24"/>
        </w:rPr>
        <w:t>, qu’il convient bien sûr de relier à celle de la pratique du vélo,</w:t>
      </w:r>
      <w:r w:rsidR="00B814EA" w:rsidRPr="001F231F">
        <w:rPr>
          <w:rFonts w:asciiTheme="minorHAnsi" w:hAnsiTheme="minorHAnsi" w:cstheme="minorHAnsi"/>
          <w:szCs w:val="24"/>
        </w:rPr>
        <w:t xml:space="preserve"> nécessite de poursuivre l’aménagement de voies sécurisées</w:t>
      </w:r>
      <w:r w:rsidR="00201DF1" w:rsidRPr="001F231F">
        <w:rPr>
          <w:rFonts w:asciiTheme="minorHAnsi" w:hAnsiTheme="minorHAnsi" w:cstheme="minorHAnsi"/>
          <w:szCs w:val="24"/>
        </w:rPr>
        <w:t xml:space="preserve">, </w:t>
      </w:r>
      <w:r w:rsidR="002262D9">
        <w:rPr>
          <w:rFonts w:asciiTheme="minorHAnsi" w:hAnsiTheme="minorHAnsi" w:cstheme="minorHAnsi"/>
          <w:szCs w:val="24"/>
        </w:rPr>
        <w:t>de promouvoir le</w:t>
      </w:r>
      <w:r w:rsidR="00201DF1" w:rsidRPr="001F231F">
        <w:rPr>
          <w:rFonts w:asciiTheme="minorHAnsi" w:hAnsiTheme="minorHAnsi" w:cstheme="minorHAnsi"/>
          <w:szCs w:val="24"/>
        </w:rPr>
        <w:t xml:space="preserve"> respect des cyclistes par les autres usagers de la route</w:t>
      </w:r>
      <w:r w:rsidR="0012562A">
        <w:rPr>
          <w:rFonts w:asciiTheme="minorHAnsi" w:hAnsiTheme="minorHAnsi" w:cstheme="minorHAnsi"/>
          <w:szCs w:val="24"/>
        </w:rPr>
        <w:t xml:space="preserve"> et</w:t>
      </w:r>
      <w:r w:rsidR="00B814EA" w:rsidRPr="001F231F">
        <w:rPr>
          <w:rFonts w:asciiTheme="minorHAnsi" w:hAnsiTheme="minorHAnsi" w:cstheme="minorHAnsi"/>
          <w:szCs w:val="24"/>
        </w:rPr>
        <w:t xml:space="preserve"> les comportements sécures : apprentissage de la pratique du vélo en ville (enfants, nouveaux adeptes …), équipements de sécurité (phares, casque</w:t>
      </w:r>
      <w:r w:rsidR="000B077B" w:rsidRPr="001F231F">
        <w:rPr>
          <w:rFonts w:asciiTheme="minorHAnsi" w:hAnsiTheme="minorHAnsi" w:cstheme="minorHAnsi"/>
          <w:szCs w:val="24"/>
        </w:rPr>
        <w:t> </w:t>
      </w:r>
      <w:r w:rsidR="00B814EA" w:rsidRPr="001F231F">
        <w:rPr>
          <w:rFonts w:asciiTheme="minorHAnsi" w:hAnsiTheme="minorHAnsi" w:cstheme="minorHAnsi"/>
          <w:szCs w:val="24"/>
        </w:rPr>
        <w:t>…) et respect</w:t>
      </w:r>
      <w:r w:rsidR="00083B27" w:rsidRPr="001F231F">
        <w:rPr>
          <w:rFonts w:asciiTheme="minorHAnsi" w:hAnsiTheme="minorHAnsi" w:cstheme="minorHAnsi"/>
          <w:szCs w:val="24"/>
        </w:rPr>
        <w:t xml:space="preserve"> du code de la route</w:t>
      </w:r>
      <w:r w:rsidR="000B077B" w:rsidRPr="001F231F">
        <w:rPr>
          <w:rFonts w:asciiTheme="minorHAnsi" w:hAnsiTheme="minorHAnsi" w:cstheme="minorHAnsi"/>
          <w:szCs w:val="24"/>
        </w:rPr>
        <w:t>, notamment en termes d’alcoolémie routière</w:t>
      </w:r>
      <w:r w:rsidR="00083B27" w:rsidRPr="001F231F">
        <w:rPr>
          <w:rFonts w:asciiTheme="minorHAnsi" w:hAnsiTheme="minorHAnsi" w:cstheme="minorHAnsi"/>
          <w:szCs w:val="24"/>
        </w:rPr>
        <w:t>.</w:t>
      </w:r>
    </w:p>
    <w:p w14:paraId="7A8759DB" w14:textId="77777777" w:rsidR="001F231F" w:rsidRPr="001F231F" w:rsidRDefault="001F231F" w:rsidP="00B814EA">
      <w:pPr>
        <w:rPr>
          <w:rFonts w:asciiTheme="minorHAnsi" w:hAnsiTheme="minorHAnsi" w:cstheme="minorHAnsi"/>
          <w:szCs w:val="24"/>
        </w:rPr>
      </w:pPr>
    </w:p>
    <w:p w14:paraId="5F033455" w14:textId="3E63CE8E" w:rsidR="00B814EA" w:rsidRPr="001F231F" w:rsidRDefault="00B814EA" w:rsidP="002262D9">
      <w:pPr>
        <w:pStyle w:val="Titre2"/>
      </w:pPr>
      <w:r w:rsidRPr="002262D9">
        <w:rPr>
          <w:highlight w:val="yellow"/>
        </w:rPr>
        <w:t>Références</w:t>
      </w:r>
    </w:p>
    <w:p w14:paraId="0BE9564F" w14:textId="1D6924D5" w:rsidR="002262D9" w:rsidRPr="002262D9" w:rsidRDefault="00817F5F" w:rsidP="002262D9">
      <w:pPr>
        <w:pStyle w:val="Bibliographie"/>
        <w:rPr>
          <w:rFonts w:cs="Calibri"/>
          <w:sz w:val="20"/>
          <w:szCs w:val="20"/>
        </w:rPr>
      </w:pPr>
      <w:r w:rsidRPr="002262D9">
        <w:rPr>
          <w:rFonts w:asciiTheme="minorHAnsi" w:hAnsiTheme="minorHAnsi" w:cstheme="minorHAnsi"/>
          <w:sz w:val="20"/>
          <w:szCs w:val="20"/>
        </w:rPr>
        <w:fldChar w:fldCharType="begin"/>
      </w:r>
      <w:r w:rsidR="00DE0153" w:rsidRPr="002262D9">
        <w:rPr>
          <w:rFonts w:asciiTheme="minorHAnsi" w:hAnsiTheme="minorHAnsi" w:cstheme="minorHAnsi"/>
          <w:sz w:val="20"/>
          <w:szCs w:val="20"/>
        </w:rPr>
        <w:instrText xml:space="preserve"> ADDIN ZOTERO_BIBL {"uncited":[],"omitted":[],"custom":[]} CSL_BIBLIOGRAPHY </w:instrText>
      </w:r>
      <w:r w:rsidRPr="002262D9">
        <w:rPr>
          <w:rFonts w:asciiTheme="minorHAnsi" w:hAnsiTheme="minorHAnsi" w:cstheme="minorHAnsi"/>
          <w:sz w:val="20"/>
          <w:szCs w:val="20"/>
        </w:rPr>
        <w:fldChar w:fldCharType="separate"/>
      </w:r>
      <w:r w:rsidR="002262D9" w:rsidRPr="002262D9">
        <w:rPr>
          <w:rFonts w:cs="Calibri"/>
          <w:sz w:val="20"/>
          <w:szCs w:val="20"/>
        </w:rPr>
        <w:t xml:space="preserve">1. </w:t>
      </w:r>
      <w:r w:rsidR="002262D9" w:rsidRPr="002262D9">
        <w:rPr>
          <w:rFonts w:cs="Calibri"/>
          <w:sz w:val="20"/>
          <w:szCs w:val="20"/>
        </w:rPr>
        <w:tab/>
        <w:t>Gouvernement. Plan Vélo et mobilités actives [Internet]. sept 14, 2018. Disponible sur: https://www.ecologie.gouv.fr/sites/default/files/2018.09.14_DP_PlanVelo.pdf</w:t>
      </w:r>
      <w:r w:rsidR="002262D9">
        <w:rPr>
          <w:rFonts w:cs="Calibri"/>
          <w:sz w:val="20"/>
          <w:szCs w:val="20"/>
        </w:rPr>
        <w:t xml:space="preserve"> </w:t>
      </w:r>
    </w:p>
    <w:p w14:paraId="11A0DE82" w14:textId="65B6CC67" w:rsidR="002262D9" w:rsidRPr="002262D9" w:rsidRDefault="002262D9" w:rsidP="002262D9">
      <w:pPr>
        <w:pStyle w:val="Bibliographie"/>
        <w:rPr>
          <w:rFonts w:cs="Calibri"/>
          <w:sz w:val="20"/>
          <w:szCs w:val="20"/>
        </w:rPr>
      </w:pPr>
      <w:r w:rsidRPr="002262D9">
        <w:rPr>
          <w:rFonts w:cs="Calibri"/>
          <w:sz w:val="20"/>
          <w:szCs w:val="20"/>
        </w:rPr>
        <w:t xml:space="preserve">2. </w:t>
      </w:r>
      <w:r w:rsidRPr="002262D9">
        <w:rPr>
          <w:rFonts w:cs="Calibri"/>
          <w:sz w:val="20"/>
          <w:szCs w:val="20"/>
        </w:rPr>
        <w:tab/>
        <w:t>Praznoczy C. Les bénéfices et les risques de la pratique du vélo. Évaluation en Île-de-France [Internet]. Paris: Observatoire régional de la santé Île-de-France; 2012 sept p. 163. Disponible sur: https://www.ors-idf.org/nos-travaux/publications/les-benefices-et-les-risques-de-la-pratique-du-velo.html</w:t>
      </w:r>
      <w:r>
        <w:rPr>
          <w:rFonts w:cs="Calibri"/>
          <w:sz w:val="20"/>
          <w:szCs w:val="20"/>
        </w:rPr>
        <w:t xml:space="preserve"> </w:t>
      </w:r>
    </w:p>
    <w:p w14:paraId="6384D17B" w14:textId="30CC8122" w:rsidR="002262D9" w:rsidRPr="002262D9" w:rsidRDefault="002262D9" w:rsidP="002262D9">
      <w:pPr>
        <w:pStyle w:val="Bibliographie"/>
        <w:rPr>
          <w:rFonts w:cs="Calibri"/>
          <w:sz w:val="20"/>
          <w:szCs w:val="20"/>
        </w:rPr>
      </w:pPr>
      <w:r w:rsidRPr="002262D9">
        <w:rPr>
          <w:rFonts w:cs="Calibri"/>
          <w:sz w:val="20"/>
          <w:szCs w:val="20"/>
        </w:rPr>
        <w:t xml:space="preserve">3. </w:t>
      </w:r>
      <w:r w:rsidRPr="002262D9">
        <w:rPr>
          <w:rFonts w:cs="Calibri"/>
          <w:sz w:val="20"/>
          <w:szCs w:val="20"/>
        </w:rPr>
        <w:tab/>
        <w:t>Observatoire national interministériel de la sécurité routière. La sécurité routière en France. Bilan de l’accidentalité de l’année 2019 [Internet]. Paris; 2020 p. 201. Disponible sur: https://www.onisr.securite-routiere.gouv.fr/sites/default/files/2020-09/Bilan_2019_version_site_internet_24_sept.pdf</w:t>
      </w:r>
      <w:r>
        <w:rPr>
          <w:rFonts w:cs="Calibri"/>
          <w:sz w:val="20"/>
          <w:szCs w:val="20"/>
        </w:rPr>
        <w:t xml:space="preserve"> </w:t>
      </w:r>
    </w:p>
    <w:p w14:paraId="7965349F" w14:textId="3082B68A" w:rsidR="002262D9" w:rsidRPr="002262D9" w:rsidRDefault="002262D9" w:rsidP="002262D9">
      <w:pPr>
        <w:pStyle w:val="Bibliographie"/>
        <w:rPr>
          <w:rFonts w:cs="Calibri"/>
          <w:sz w:val="20"/>
          <w:szCs w:val="20"/>
        </w:rPr>
      </w:pPr>
      <w:r w:rsidRPr="002262D9">
        <w:rPr>
          <w:rFonts w:cs="Calibri"/>
          <w:sz w:val="20"/>
          <w:szCs w:val="20"/>
        </w:rPr>
        <w:t xml:space="preserve">4. </w:t>
      </w:r>
      <w:r w:rsidRPr="002262D9">
        <w:rPr>
          <w:rFonts w:cs="Calibri"/>
          <w:sz w:val="20"/>
          <w:szCs w:val="20"/>
        </w:rPr>
        <w:tab/>
        <w:t>Deck C, Willinger R. Project TEVU (Tête vulnérable).  Note de synthèse sur les traumatismes crâniens et leurs séquelles [Internet]. 2017 mai. Disponible sur: https://www.onisr.securite-routiere.gouv.fr/sites/default/files/2019-03/rapport%20de%20l%27%C3%A9tude%20T%C3%AAtes%20Vuln%C3%A9rables.pdf</w:t>
      </w:r>
      <w:r>
        <w:rPr>
          <w:rFonts w:cs="Calibri"/>
          <w:sz w:val="20"/>
          <w:szCs w:val="20"/>
        </w:rPr>
        <w:t xml:space="preserve"> </w:t>
      </w:r>
    </w:p>
    <w:p w14:paraId="3AA0A8E7" w14:textId="21A1A706" w:rsidR="002262D9" w:rsidRPr="002262D9" w:rsidRDefault="002262D9" w:rsidP="002262D9">
      <w:pPr>
        <w:pStyle w:val="Bibliographie"/>
        <w:rPr>
          <w:rFonts w:cs="Calibri"/>
          <w:sz w:val="20"/>
          <w:szCs w:val="20"/>
        </w:rPr>
      </w:pPr>
      <w:r w:rsidRPr="002262D9">
        <w:rPr>
          <w:rFonts w:cs="Calibri"/>
          <w:sz w:val="20"/>
          <w:szCs w:val="20"/>
        </w:rPr>
        <w:t xml:space="preserve">5. </w:t>
      </w:r>
      <w:r w:rsidRPr="002262D9">
        <w:rPr>
          <w:rFonts w:cs="Calibri"/>
          <w:sz w:val="20"/>
          <w:szCs w:val="20"/>
        </w:rPr>
        <w:tab/>
        <w:t>Épidémiologie des accidents de vélo et stratégies de prévention pour les éviter. Synthèse bibliographique en France et dans les pays de développement comparable, 1990-2016 [Internet]. Saint-Maurice: Santé publique France; 2019 mai p. 50. Disponible sur: https://www.santepubliquefrance.fr/recherche/#search=%C3%89pid%C3%A9miologie%20des%20accidents%20de%20v%C3%A9lo%20et%20strat%C3%A9gies%20de%20pr%C3%A9vention%20pour%20les%20%C3%A9viter.%20Synth%C3%A8se%20bibliographique%20en%20France%20et%20dans%20les%20pays%20de%20d%C3%A9veloppement%20comparable,%201990-2016</w:t>
      </w:r>
      <w:r>
        <w:rPr>
          <w:rFonts w:cs="Calibri"/>
          <w:sz w:val="20"/>
          <w:szCs w:val="20"/>
        </w:rPr>
        <w:t xml:space="preserve"> </w:t>
      </w:r>
    </w:p>
    <w:p w14:paraId="6EE4B037" w14:textId="516F8FB9" w:rsidR="00F77D77" w:rsidRPr="0012562A" w:rsidRDefault="00817F5F" w:rsidP="0012562A">
      <w:pPr>
        <w:jc w:val="right"/>
        <w:rPr>
          <w:rFonts w:asciiTheme="minorHAnsi" w:hAnsiTheme="minorHAnsi" w:cstheme="minorHAnsi"/>
          <w:b/>
          <w:i/>
          <w:szCs w:val="24"/>
        </w:rPr>
      </w:pPr>
      <w:r w:rsidRPr="002262D9">
        <w:rPr>
          <w:rFonts w:asciiTheme="minorHAnsi" w:hAnsiTheme="minorHAnsi" w:cstheme="minorHAnsi"/>
          <w:sz w:val="20"/>
        </w:rPr>
        <w:fldChar w:fldCharType="end"/>
      </w:r>
      <w:r w:rsidR="00F77D77" w:rsidRPr="00CC2FF9">
        <w:rPr>
          <w:rFonts w:asciiTheme="minorHAnsi" w:hAnsiTheme="minorHAnsi" w:cstheme="minorHAnsi"/>
          <w:b/>
          <w:i/>
          <w:szCs w:val="24"/>
        </w:rPr>
        <w:t>Laurent Plancke</w:t>
      </w:r>
    </w:p>
    <w:sectPr w:rsidR="00F77D77" w:rsidRPr="0012562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c" w:date="2020-12-15T14:21:00Z" w:initials="p">
    <w:p w14:paraId="6A26728B" w14:textId="6B12EDC7" w:rsidR="00CC2FF9" w:rsidRDefault="00CC2FF9">
      <w:pPr>
        <w:pStyle w:val="Commentaire"/>
      </w:pPr>
      <w:r>
        <w:rPr>
          <w:rStyle w:val="Marquedecommentaire"/>
        </w:rPr>
        <w:annotationRef/>
      </w:r>
      <w:r>
        <w:t xml:space="preserve">Source de la photo ? </w:t>
      </w:r>
    </w:p>
  </w:comment>
  <w:comment w:id="2" w:author="Laurent Plancke" w:date="2020-12-16T17:01:00Z" w:initials="LP">
    <w:p w14:paraId="46610ECE" w14:textId="77777777" w:rsidR="00D939B5" w:rsidRDefault="00D939B5">
      <w:pPr>
        <w:pStyle w:val="Commentaire"/>
      </w:pPr>
      <w:r>
        <w:rPr>
          <w:rStyle w:val="Marquedecommentaire"/>
        </w:rPr>
        <w:annotationRef/>
      </w:r>
      <w:r w:rsidR="00132D41">
        <w:t>Je n’ai pas eu de réponse à la demande d’autorisation d’utiliser la photo (cf. courriel du 16/12)</w:t>
      </w:r>
    </w:p>
    <w:p w14:paraId="534CEFBC" w14:textId="77777777" w:rsidR="00132D41" w:rsidRDefault="00132D41">
      <w:pPr>
        <w:pStyle w:val="Commentaire"/>
      </w:pPr>
    </w:p>
    <w:p w14:paraId="298BAE32" w14:textId="71D4C596" w:rsidR="00132D41" w:rsidRDefault="00132D41">
      <w:pPr>
        <w:pStyle w:val="Commentaire"/>
      </w:pPr>
      <w:r w:rsidRPr="00132D41">
        <w:t>https://www.google.com/imgres?imgurl=https%3A%2F%2Fwww.francetvinfo.fr%2Fimage%2F759r5hfn0-59ea%2F580%2F326%2F10498875.jpg&amp;imgrefurl=https%3A%2F%2Fwww.francetvinfo.fr%2Freplay-radio%2Fle-vrai-du-faux%2Fplus-d-accidents-chez-les-cyclistes-en-ville_1782363.html&amp;tbnid=jSGjINcKJ_vf8M&amp;vet=12ahUKEwil7aDe0-HtAhUDeRoKHY7yBbsQMygBegUIARCqAQ..i&amp;docid=eBWbOpJ1Cmp6MM&amp;w=580&amp;h=326&amp;q=v%C3%A9lo%20maxppp%20accident&amp;ved=2ahUKEwil7aDe0-HtAhUDeRoKHY7yBbsQMygBegUIARCqAQ</w:t>
      </w:r>
    </w:p>
  </w:comment>
  <w:comment w:id="3" w:author="pc" w:date="2020-12-15T14:27:00Z" w:initials="p">
    <w:p w14:paraId="1BDE8017" w14:textId="015A6D4C" w:rsidR="00FC202F" w:rsidRDefault="00FC202F">
      <w:pPr>
        <w:pStyle w:val="Commentaire"/>
      </w:pPr>
      <w:r>
        <w:rPr>
          <w:rStyle w:val="Marquedecommentaire"/>
        </w:rPr>
        <w:annotationRef/>
      </w:r>
      <w:r>
        <w:t xml:space="preserve">Dire que c’est parce qu’on as proportionnellement plus d’hommes qui font du vélo ? </w:t>
      </w:r>
    </w:p>
  </w:comment>
  <w:comment w:id="4" w:author="Laurent Plancke" w:date="2020-12-16T16:51:00Z" w:initials="LP">
    <w:p w14:paraId="404F0D2B" w14:textId="58CC1355" w:rsidR="00D939B5" w:rsidRDefault="00D939B5">
      <w:pPr>
        <w:pStyle w:val="Commentaire"/>
      </w:pPr>
      <w:r>
        <w:rPr>
          <w:rStyle w:val="Marquedecommentaire"/>
        </w:rPr>
        <w:annotationRef/>
      </w:r>
      <w:r>
        <w:t>Ce n’est pas le seul facteur. Les pratiques à risque sont toujours plus fréquentes chez les hommes que chez les femmes.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26728B" w15:done="0"/>
  <w15:commentEx w15:paraId="298BAE32" w15:paraIdParent="6A26728B" w15:done="0"/>
  <w15:commentEx w15:paraId="1BDE8017" w15:done="0"/>
  <w15:commentEx w15:paraId="404F0D2B" w15:paraIdParent="1BDE80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BBD9" w16cex:dateUtc="2020-12-16T16:01:00Z"/>
  <w16cex:commentExtensible w16cex:durableId="2384B98F" w16cex:dateUtc="2020-12-16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26728B" w16cid:durableId="23849B52"/>
  <w16cid:commentId w16cid:paraId="298BAE32" w16cid:durableId="2384BBD9"/>
  <w16cid:commentId w16cid:paraId="1BDE8017" w16cid:durableId="23849B55"/>
  <w16cid:commentId w16cid:paraId="404F0D2B" w16cid:durableId="2384B9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B5FD6" w14:textId="77777777" w:rsidR="005705DB" w:rsidRDefault="005705DB" w:rsidP="008C4606">
      <w:pPr>
        <w:spacing w:after="0"/>
      </w:pPr>
      <w:r>
        <w:separator/>
      </w:r>
    </w:p>
  </w:endnote>
  <w:endnote w:type="continuationSeparator" w:id="0">
    <w:p w14:paraId="7102DB99" w14:textId="77777777" w:rsidR="005705DB" w:rsidRDefault="005705DB" w:rsidP="008C4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licious">
    <w:panose1 w:val="00000000000000000000"/>
    <w:charset w:val="00"/>
    <w:family w:val="modern"/>
    <w:notTrueType/>
    <w:pitch w:val="variable"/>
    <w:sig w:usb0="A00000AF" w:usb1="40002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B2A85" w14:textId="77777777" w:rsidR="005705DB" w:rsidRDefault="005705DB" w:rsidP="008C4606">
      <w:pPr>
        <w:spacing w:after="0"/>
      </w:pPr>
      <w:r>
        <w:separator/>
      </w:r>
    </w:p>
  </w:footnote>
  <w:footnote w:type="continuationSeparator" w:id="0">
    <w:p w14:paraId="434BBCDD" w14:textId="77777777" w:rsidR="005705DB" w:rsidRDefault="005705DB" w:rsidP="008C4606">
      <w:pPr>
        <w:spacing w:after="0"/>
      </w:pPr>
      <w:r>
        <w:continuationSeparator/>
      </w:r>
    </w:p>
  </w:footnote>
  <w:footnote w:id="1">
    <w:p w14:paraId="5D4D991A" w14:textId="397CA35F" w:rsidR="00F65797" w:rsidRDefault="00F65797">
      <w:pPr>
        <w:pStyle w:val="Notedebasdepage"/>
      </w:pPr>
      <w:r>
        <w:rPr>
          <w:rStyle w:val="Appelnotedebasdep"/>
        </w:rPr>
        <w:footnoteRef/>
      </w:r>
      <w:r>
        <w:t xml:space="preserve"> 187 cyclistes stricto sensu et 10 usagers d’e</w:t>
      </w:r>
      <w:r w:rsidRPr="00F65797">
        <w:t>ngins de déplacement motorisés (trottinettes électriques …)</w:t>
      </w:r>
    </w:p>
  </w:footnote>
  <w:footnote w:id="2">
    <w:p w14:paraId="25AC7A51" w14:textId="148DEA1A" w:rsidR="00132D41" w:rsidRDefault="00132D41">
      <w:pPr>
        <w:pStyle w:val="Notedebasdepage"/>
      </w:pPr>
      <w:r>
        <w:rPr>
          <w:rStyle w:val="Appelnotedebasdep"/>
        </w:rPr>
        <w:footnoteRef/>
      </w:r>
      <w:r>
        <w:t xml:space="preserve"> La létalité est la propension à décéder ; c’est donc un indicateur de gravité.</w:t>
      </w:r>
    </w:p>
  </w:footnote>
  <w:footnote w:id="3">
    <w:p w14:paraId="214A867C" w14:textId="3F39527A" w:rsidR="002262D9" w:rsidRDefault="002262D9">
      <w:pPr>
        <w:pStyle w:val="Notedebasdepage"/>
      </w:pPr>
      <w:r>
        <w:rPr>
          <w:rStyle w:val="Appelnotedebasdep"/>
        </w:rPr>
        <w:footnoteRef/>
      </w:r>
      <w:r>
        <w:t xml:space="preserve"> </w:t>
      </w:r>
      <w:r w:rsidRPr="002262D9">
        <w:t>L’odds ratio (OR) exprime le rapport de risques entre le groupe qui portait un casque à celui qui n’en portait pas. Si l’OR est inférieur à 0, le risque est inférieur dans le 1</w:t>
      </w:r>
      <w:r w:rsidRPr="002262D9">
        <w:rPr>
          <w:vertAlign w:val="superscript"/>
        </w:rPr>
        <w:t>er</w:t>
      </w:r>
      <w:r w:rsidRPr="002262D9">
        <w:t xml:space="preserve"> groupe. On parle alors d’un facteur protecteur (il est significativement associé à une probabilité plus faible de connaître l’événement étudié, comme la blessure, le traumatisme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E4B80"/>
    <w:multiLevelType w:val="hybridMultilevel"/>
    <w:tmpl w:val="88628BDC"/>
    <w:lvl w:ilvl="0" w:tplc="2C5E80C8">
      <w:start w:val="1"/>
      <w:numFmt w:val="bullet"/>
      <w:lvlText w:val="∏"/>
      <w:lvlJc w:val="left"/>
      <w:pPr>
        <w:ind w:left="720" w:hanging="360"/>
      </w:pPr>
      <w:rPr>
        <w:rFonts w:ascii="Delicious" w:hAnsi="Delicio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D12408"/>
    <w:multiLevelType w:val="hybridMultilevel"/>
    <w:tmpl w:val="CF0CB742"/>
    <w:lvl w:ilvl="0" w:tplc="D9FAE89E">
      <w:start w:val="1"/>
      <w:numFmt w:val="decimal"/>
      <w:lvlText w:val="%1."/>
      <w:lvlJc w:val="left"/>
      <w:pPr>
        <w:ind w:left="720" w:hanging="360"/>
      </w:pPr>
      <w:rPr>
        <w:rFonts w:ascii="Calibri" w:hAnsi="Calibri"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0953FF"/>
    <w:multiLevelType w:val="hybridMultilevel"/>
    <w:tmpl w:val="3D007BB0"/>
    <w:lvl w:ilvl="0" w:tplc="76E83460">
      <w:start w:val="1"/>
      <w:numFmt w:val="bullet"/>
      <w:pStyle w:val="Paragraphedeliste"/>
      <w:lvlText w:val="∏"/>
      <w:lvlJc w:val="left"/>
      <w:pPr>
        <w:ind w:left="720" w:hanging="360"/>
      </w:pPr>
      <w:rPr>
        <w:rFonts w:ascii="Delicious" w:hAnsi="Delicio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rson w15:author="Laurent Plancke">
    <w15:presenceInfo w15:providerId="None" w15:userId="Laurent Planc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5F"/>
    <w:rsid w:val="00050841"/>
    <w:rsid w:val="00073F4A"/>
    <w:rsid w:val="00082B4F"/>
    <w:rsid w:val="00083B27"/>
    <w:rsid w:val="0008522F"/>
    <w:rsid w:val="00096435"/>
    <w:rsid w:val="000A351A"/>
    <w:rsid w:val="000B077B"/>
    <w:rsid w:val="0012562A"/>
    <w:rsid w:val="00132D41"/>
    <w:rsid w:val="00193B89"/>
    <w:rsid w:val="001B1B60"/>
    <w:rsid w:val="001E2146"/>
    <w:rsid w:val="001F231F"/>
    <w:rsid w:val="00201DF1"/>
    <w:rsid w:val="002036F4"/>
    <w:rsid w:val="002262D9"/>
    <w:rsid w:val="002477FC"/>
    <w:rsid w:val="0025095C"/>
    <w:rsid w:val="00375C33"/>
    <w:rsid w:val="00404E7B"/>
    <w:rsid w:val="00444EB6"/>
    <w:rsid w:val="0044758D"/>
    <w:rsid w:val="00457C2D"/>
    <w:rsid w:val="004A7F17"/>
    <w:rsid w:val="004B5770"/>
    <w:rsid w:val="00511025"/>
    <w:rsid w:val="0052155A"/>
    <w:rsid w:val="00527B94"/>
    <w:rsid w:val="00547E3B"/>
    <w:rsid w:val="005705DB"/>
    <w:rsid w:val="00587CF3"/>
    <w:rsid w:val="005E5313"/>
    <w:rsid w:val="00617EFD"/>
    <w:rsid w:val="006921C5"/>
    <w:rsid w:val="006C7EC6"/>
    <w:rsid w:val="00782C93"/>
    <w:rsid w:val="007A51F7"/>
    <w:rsid w:val="007E6179"/>
    <w:rsid w:val="00817F5F"/>
    <w:rsid w:val="008A2937"/>
    <w:rsid w:val="008C4606"/>
    <w:rsid w:val="008D165A"/>
    <w:rsid w:val="008F0F2F"/>
    <w:rsid w:val="008F4901"/>
    <w:rsid w:val="00947823"/>
    <w:rsid w:val="009A2EE2"/>
    <w:rsid w:val="00A31E4D"/>
    <w:rsid w:val="00AA4750"/>
    <w:rsid w:val="00AB297A"/>
    <w:rsid w:val="00B34F5E"/>
    <w:rsid w:val="00B814EA"/>
    <w:rsid w:val="00BD00CE"/>
    <w:rsid w:val="00BD0665"/>
    <w:rsid w:val="00BD1DFF"/>
    <w:rsid w:val="00BF7DB5"/>
    <w:rsid w:val="00C32CD8"/>
    <w:rsid w:val="00C33BBD"/>
    <w:rsid w:val="00CC20EE"/>
    <w:rsid w:val="00CC2FF9"/>
    <w:rsid w:val="00CC53BF"/>
    <w:rsid w:val="00D41F3A"/>
    <w:rsid w:val="00D939B5"/>
    <w:rsid w:val="00DD55F5"/>
    <w:rsid w:val="00DE0153"/>
    <w:rsid w:val="00E70594"/>
    <w:rsid w:val="00E83281"/>
    <w:rsid w:val="00F451AF"/>
    <w:rsid w:val="00F65797"/>
    <w:rsid w:val="00F77D77"/>
    <w:rsid w:val="00F9256C"/>
    <w:rsid w:val="00FC2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AC56"/>
  <w15:chartTrackingRefBased/>
  <w15:docId w15:val="{7548B05C-2F31-43D6-AD24-CEBABE6C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51A"/>
    <w:pPr>
      <w:spacing w:after="60" w:line="240" w:lineRule="auto"/>
      <w:jc w:val="both"/>
    </w:pPr>
    <w:rPr>
      <w:rFonts w:ascii="Calibri" w:hAnsi="Calibri" w:cs="Times New Roman"/>
      <w:sz w:val="24"/>
      <w:szCs w:val="20"/>
      <w:lang w:eastAsia="fr-FR"/>
    </w:rPr>
  </w:style>
  <w:style w:type="paragraph" w:styleId="Titre1">
    <w:name w:val="heading 1"/>
    <w:basedOn w:val="Normal"/>
    <w:next w:val="Normal"/>
    <w:link w:val="Titre1Car"/>
    <w:uiPriority w:val="9"/>
    <w:qFormat/>
    <w:rsid w:val="00096435"/>
    <w:pPr>
      <w:keepNext/>
      <w:keepLines/>
      <w:spacing w:after="120"/>
      <w:jc w:val="left"/>
      <w:outlineLvl w:val="0"/>
    </w:pPr>
    <w:rPr>
      <w:rFonts w:eastAsiaTheme="majorEastAsia" w:cstheme="majorBidi"/>
      <w:sz w:val="48"/>
      <w:szCs w:val="48"/>
    </w:rPr>
  </w:style>
  <w:style w:type="paragraph" w:styleId="Titre2">
    <w:name w:val="heading 2"/>
    <w:basedOn w:val="Normal"/>
    <w:next w:val="Normal"/>
    <w:link w:val="Titre2Car"/>
    <w:uiPriority w:val="9"/>
    <w:unhideWhenUsed/>
    <w:qFormat/>
    <w:rsid w:val="00BF7D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E015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autoRedefine/>
    <w:uiPriority w:val="34"/>
    <w:qFormat/>
    <w:rsid w:val="001F231F"/>
    <w:pPr>
      <w:numPr>
        <w:numId w:val="5"/>
      </w:numPr>
      <w:spacing w:before="40" w:after="40"/>
      <w:contextualSpacing/>
    </w:pPr>
    <w:rPr>
      <w:rFonts w:asciiTheme="minorHAnsi" w:eastAsia="Calibri" w:hAnsiTheme="minorHAnsi" w:cstheme="minorHAnsi"/>
      <w:b/>
      <w:szCs w:val="24"/>
      <w:lang w:eastAsia="en-US"/>
    </w:rPr>
  </w:style>
  <w:style w:type="character" w:customStyle="1" w:styleId="ParagraphedelisteCar">
    <w:name w:val="Paragraphe de liste Car"/>
    <w:link w:val="Paragraphedeliste"/>
    <w:uiPriority w:val="34"/>
    <w:locked/>
    <w:rsid w:val="001F231F"/>
    <w:rPr>
      <w:rFonts w:eastAsia="Calibri" w:cstheme="minorHAnsi"/>
      <w:b/>
      <w:sz w:val="24"/>
      <w:szCs w:val="24"/>
    </w:rPr>
  </w:style>
  <w:style w:type="paragraph" w:styleId="Titre">
    <w:name w:val="Title"/>
    <w:basedOn w:val="Normal"/>
    <w:next w:val="Normal"/>
    <w:link w:val="TitreCar"/>
    <w:uiPriority w:val="10"/>
    <w:qFormat/>
    <w:rsid w:val="00BD0665"/>
    <w:pPr>
      <w:spacing w:after="0"/>
      <w:contextualSpacing/>
      <w:jc w:val="left"/>
    </w:pPr>
    <w:rPr>
      <w:rFonts w:eastAsiaTheme="majorEastAsia" w:cstheme="majorBidi"/>
      <w:spacing w:val="-10"/>
      <w:kern w:val="28"/>
      <w:sz w:val="56"/>
      <w:szCs w:val="56"/>
    </w:rPr>
  </w:style>
  <w:style w:type="character" w:customStyle="1" w:styleId="TitreCar">
    <w:name w:val="Titre Car"/>
    <w:basedOn w:val="Policepardfaut"/>
    <w:link w:val="Titre"/>
    <w:uiPriority w:val="10"/>
    <w:rsid w:val="00BD0665"/>
    <w:rPr>
      <w:rFonts w:ascii="Delicious" w:eastAsiaTheme="majorEastAsia" w:hAnsi="Delicious" w:cstheme="majorBidi"/>
      <w:spacing w:val="-10"/>
      <w:kern w:val="28"/>
      <w:sz w:val="56"/>
      <w:szCs w:val="56"/>
    </w:rPr>
  </w:style>
  <w:style w:type="character" w:customStyle="1" w:styleId="Titre1Car">
    <w:name w:val="Titre 1 Car"/>
    <w:basedOn w:val="Policepardfaut"/>
    <w:link w:val="Titre1"/>
    <w:uiPriority w:val="9"/>
    <w:rsid w:val="00096435"/>
    <w:rPr>
      <w:rFonts w:ascii="Delicious" w:eastAsiaTheme="majorEastAsia" w:hAnsi="Delicious" w:cstheme="majorBidi"/>
      <w:sz w:val="48"/>
      <w:szCs w:val="48"/>
      <w:lang w:eastAsia="fr-FR"/>
    </w:rPr>
  </w:style>
  <w:style w:type="character" w:customStyle="1" w:styleId="Titre2Car">
    <w:name w:val="Titre 2 Car"/>
    <w:basedOn w:val="Policepardfaut"/>
    <w:link w:val="Titre2"/>
    <w:uiPriority w:val="9"/>
    <w:rsid w:val="00BF7DB5"/>
    <w:rPr>
      <w:rFonts w:asciiTheme="majorHAnsi" w:eastAsiaTheme="majorEastAsia" w:hAnsiTheme="majorHAnsi" w:cstheme="majorBidi"/>
      <w:color w:val="2F5496" w:themeColor="accent1" w:themeShade="BF"/>
      <w:sz w:val="26"/>
      <w:szCs w:val="26"/>
      <w:lang w:eastAsia="fr-FR"/>
    </w:rPr>
  </w:style>
  <w:style w:type="paragraph" w:customStyle="1" w:styleId="Q">
    <w:name w:val="Q"/>
    <w:basedOn w:val="Normal"/>
    <w:qFormat/>
    <w:rsid w:val="00A31E4D"/>
    <w:pPr>
      <w:ind w:left="-284"/>
    </w:pPr>
    <w:rPr>
      <w:i/>
      <w:iCs/>
    </w:rPr>
  </w:style>
  <w:style w:type="paragraph" w:styleId="Bibliographie">
    <w:name w:val="Bibliography"/>
    <w:basedOn w:val="Normal"/>
    <w:next w:val="Normal"/>
    <w:autoRedefine/>
    <w:uiPriority w:val="37"/>
    <w:rsid w:val="002262D9"/>
    <w:pPr>
      <w:tabs>
        <w:tab w:val="left" w:pos="384"/>
      </w:tabs>
      <w:suppressAutoHyphens/>
      <w:autoSpaceDN w:val="0"/>
      <w:spacing w:after="240"/>
      <w:ind w:left="384" w:hanging="384"/>
      <w:jc w:val="left"/>
      <w:textAlignment w:val="baseline"/>
    </w:pPr>
    <w:rPr>
      <w:rFonts w:eastAsia="Calibri"/>
      <w:sz w:val="18"/>
      <w:szCs w:val="24"/>
      <w:lang w:eastAsia="en-US"/>
    </w:rPr>
  </w:style>
  <w:style w:type="table" w:styleId="Grilledutableau">
    <w:name w:val="Table Grid"/>
    <w:basedOn w:val="TableauNormal"/>
    <w:uiPriority w:val="39"/>
    <w:rsid w:val="00BD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8D165A"/>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rsid w:val="008C4606"/>
    <w:pPr>
      <w:spacing w:after="0"/>
    </w:pPr>
    <w:rPr>
      <w:sz w:val="20"/>
    </w:rPr>
  </w:style>
  <w:style w:type="character" w:customStyle="1" w:styleId="NotedebasdepageCar">
    <w:name w:val="Note de bas de page Car"/>
    <w:basedOn w:val="Policepardfaut"/>
    <w:link w:val="Notedebasdepage"/>
    <w:uiPriority w:val="99"/>
    <w:semiHidden/>
    <w:rsid w:val="008C4606"/>
    <w:rPr>
      <w:rFonts w:ascii="Delicious" w:hAnsi="Delicious" w:cs="Times New Roman"/>
      <w:sz w:val="20"/>
      <w:szCs w:val="20"/>
      <w:lang w:eastAsia="fr-FR"/>
    </w:rPr>
  </w:style>
  <w:style w:type="character" w:styleId="Appelnotedebasdep">
    <w:name w:val="footnote reference"/>
    <w:basedOn w:val="Policepardfaut"/>
    <w:uiPriority w:val="99"/>
    <w:semiHidden/>
    <w:unhideWhenUsed/>
    <w:rsid w:val="008C4606"/>
    <w:rPr>
      <w:vertAlign w:val="superscript"/>
    </w:rPr>
  </w:style>
  <w:style w:type="paragraph" w:customStyle="1" w:styleId="Note">
    <w:name w:val="Note"/>
    <w:basedOn w:val="Normal"/>
    <w:rsid w:val="00132D41"/>
    <w:pPr>
      <w:spacing w:before="120"/>
    </w:pPr>
    <w:rPr>
      <w:sz w:val="16"/>
      <w:szCs w:val="16"/>
    </w:rPr>
  </w:style>
  <w:style w:type="character" w:customStyle="1" w:styleId="Titre3Car">
    <w:name w:val="Titre 3 Car"/>
    <w:basedOn w:val="Policepardfaut"/>
    <w:link w:val="Titre3"/>
    <w:uiPriority w:val="9"/>
    <w:rsid w:val="00DE0153"/>
    <w:rPr>
      <w:rFonts w:asciiTheme="majorHAnsi" w:eastAsiaTheme="majorEastAsia" w:hAnsiTheme="majorHAnsi" w:cstheme="majorBidi"/>
      <w:color w:val="1F3763" w:themeColor="accent1" w:themeShade="7F"/>
      <w:sz w:val="24"/>
      <w:szCs w:val="24"/>
      <w:lang w:eastAsia="fr-FR"/>
    </w:rPr>
  </w:style>
  <w:style w:type="character" w:styleId="Marquedecommentaire">
    <w:name w:val="annotation reference"/>
    <w:basedOn w:val="Policepardfaut"/>
    <w:uiPriority w:val="99"/>
    <w:semiHidden/>
    <w:unhideWhenUsed/>
    <w:rsid w:val="00CC2FF9"/>
    <w:rPr>
      <w:sz w:val="16"/>
      <w:szCs w:val="16"/>
    </w:rPr>
  </w:style>
  <w:style w:type="paragraph" w:styleId="Commentaire">
    <w:name w:val="annotation text"/>
    <w:basedOn w:val="Normal"/>
    <w:link w:val="CommentaireCar"/>
    <w:uiPriority w:val="99"/>
    <w:semiHidden/>
    <w:unhideWhenUsed/>
    <w:rsid w:val="00CC2FF9"/>
    <w:rPr>
      <w:sz w:val="20"/>
    </w:rPr>
  </w:style>
  <w:style w:type="character" w:customStyle="1" w:styleId="CommentaireCar">
    <w:name w:val="Commentaire Car"/>
    <w:basedOn w:val="Policepardfaut"/>
    <w:link w:val="Commentaire"/>
    <w:uiPriority w:val="99"/>
    <w:semiHidden/>
    <w:rsid w:val="00CC2FF9"/>
    <w:rPr>
      <w:rFonts w:ascii="Delicious" w:hAnsi="Deliciou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C2FF9"/>
    <w:rPr>
      <w:b/>
      <w:bCs/>
    </w:rPr>
  </w:style>
  <w:style w:type="character" w:customStyle="1" w:styleId="ObjetducommentaireCar">
    <w:name w:val="Objet du commentaire Car"/>
    <w:basedOn w:val="CommentaireCar"/>
    <w:link w:val="Objetducommentaire"/>
    <w:uiPriority w:val="99"/>
    <w:semiHidden/>
    <w:rsid w:val="00CC2FF9"/>
    <w:rPr>
      <w:rFonts w:ascii="Delicious" w:hAnsi="Delicious" w:cs="Times New Roman"/>
      <w:b/>
      <w:bCs/>
      <w:sz w:val="20"/>
      <w:szCs w:val="20"/>
      <w:lang w:eastAsia="fr-FR"/>
    </w:rPr>
  </w:style>
  <w:style w:type="paragraph" w:styleId="Textedebulles">
    <w:name w:val="Balloon Text"/>
    <w:basedOn w:val="Normal"/>
    <w:link w:val="TextedebullesCar"/>
    <w:uiPriority w:val="99"/>
    <w:semiHidden/>
    <w:unhideWhenUsed/>
    <w:rsid w:val="00CC2FF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FF9"/>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0.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20.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0.xml"/><Relationship Id="rId1" Type="http://schemas.microsoft.com/office/2011/relationships/chartStyle" Target="style2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888550282977796E-2"/>
          <c:y val="6.7838421214924449E-2"/>
          <c:w val="0.90422289943404444"/>
          <c:h val="0.83497636338473402"/>
        </c:manualLayout>
      </c:layout>
      <c:barChart>
        <c:barDir val="col"/>
        <c:grouping val="stacked"/>
        <c:varyColors val="0"/>
        <c:ser>
          <c:idx val="0"/>
          <c:order val="0"/>
          <c:tx>
            <c:strRef>
              <c:f>Feuil1!$B$1</c:f>
              <c:strCache>
                <c:ptCount val="1"/>
                <c:pt idx="0">
                  <c:v>Blessés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Delicious"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Feuil1!$A$2:$A$9</c:f>
              <c:strCache>
                <c:ptCount val="8"/>
                <c:pt idx="0">
                  <c:v>0-14</c:v>
                </c:pt>
                <c:pt idx="1">
                  <c:v>15-24</c:v>
                </c:pt>
                <c:pt idx="2">
                  <c:v>25-34</c:v>
                </c:pt>
                <c:pt idx="3">
                  <c:v>35-44</c:v>
                </c:pt>
                <c:pt idx="4">
                  <c:v>45-54</c:v>
                </c:pt>
                <c:pt idx="5">
                  <c:v>55-64</c:v>
                </c:pt>
                <c:pt idx="6">
                  <c:v>65-74</c:v>
                </c:pt>
                <c:pt idx="7">
                  <c:v>75 et +</c:v>
                </c:pt>
              </c:strCache>
            </c:strRef>
          </c:cat>
          <c:val>
            <c:numRef>
              <c:f>Feuil1!$B$2:$B$9</c:f>
              <c:numCache>
                <c:formatCode>General</c:formatCode>
                <c:ptCount val="8"/>
                <c:pt idx="0">
                  <c:v>363</c:v>
                </c:pt>
                <c:pt idx="1">
                  <c:v>867</c:v>
                </c:pt>
                <c:pt idx="2">
                  <c:v>792</c:v>
                </c:pt>
                <c:pt idx="3">
                  <c:v>588</c:v>
                </c:pt>
                <c:pt idx="4">
                  <c:v>649</c:v>
                </c:pt>
                <c:pt idx="5">
                  <c:v>601</c:v>
                </c:pt>
                <c:pt idx="6">
                  <c:v>423</c:v>
                </c:pt>
                <c:pt idx="7">
                  <c:v>221</c:v>
                </c:pt>
              </c:numCache>
            </c:numRef>
          </c:val>
          <c:extLst>
            <c:ext xmlns:c16="http://schemas.microsoft.com/office/drawing/2014/chart" uri="{C3380CC4-5D6E-409C-BE32-E72D297353CC}">
              <c16:uniqueId val="{00000000-059D-454C-8D92-B687C7106413}"/>
            </c:ext>
          </c:extLst>
        </c:ser>
        <c:ser>
          <c:idx val="1"/>
          <c:order val="1"/>
          <c:tx>
            <c:strRef>
              <c:f>Feuil1!$C$1</c:f>
              <c:strCache>
                <c:ptCount val="1"/>
                <c:pt idx="0">
                  <c:v>Tués</c:v>
                </c:pt>
              </c:strCache>
            </c:strRef>
          </c:tx>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Delicious"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Feuil1!$A$2:$A$9</c:f>
              <c:strCache>
                <c:ptCount val="8"/>
                <c:pt idx="0">
                  <c:v>0-14</c:v>
                </c:pt>
                <c:pt idx="1">
                  <c:v>15-24</c:v>
                </c:pt>
                <c:pt idx="2">
                  <c:v>25-34</c:v>
                </c:pt>
                <c:pt idx="3">
                  <c:v>35-44</c:v>
                </c:pt>
                <c:pt idx="4">
                  <c:v>45-54</c:v>
                </c:pt>
                <c:pt idx="5">
                  <c:v>55-64</c:v>
                </c:pt>
                <c:pt idx="6">
                  <c:v>65-74</c:v>
                </c:pt>
                <c:pt idx="7">
                  <c:v>75 et +</c:v>
                </c:pt>
              </c:strCache>
            </c:strRef>
          </c:cat>
          <c:val>
            <c:numRef>
              <c:f>Feuil1!$C$2:$C$9</c:f>
              <c:numCache>
                <c:formatCode>General</c:formatCode>
                <c:ptCount val="8"/>
                <c:pt idx="0">
                  <c:v>6</c:v>
                </c:pt>
                <c:pt idx="1">
                  <c:v>16</c:v>
                </c:pt>
                <c:pt idx="2">
                  <c:v>12</c:v>
                </c:pt>
                <c:pt idx="3">
                  <c:v>14</c:v>
                </c:pt>
                <c:pt idx="4">
                  <c:v>14</c:v>
                </c:pt>
                <c:pt idx="5">
                  <c:v>47</c:v>
                </c:pt>
                <c:pt idx="6">
                  <c:v>44</c:v>
                </c:pt>
                <c:pt idx="7">
                  <c:v>34</c:v>
                </c:pt>
              </c:numCache>
            </c:numRef>
          </c:val>
          <c:extLst>
            <c:ext xmlns:c16="http://schemas.microsoft.com/office/drawing/2014/chart" uri="{C3380CC4-5D6E-409C-BE32-E72D297353CC}">
              <c16:uniqueId val="{00000001-059D-454C-8D92-B687C7106413}"/>
            </c:ext>
          </c:extLst>
        </c:ser>
        <c:dLbls>
          <c:showLegendKey val="0"/>
          <c:showVal val="0"/>
          <c:showCatName val="0"/>
          <c:showSerName val="0"/>
          <c:showPercent val="0"/>
          <c:showBubbleSize val="0"/>
        </c:dLbls>
        <c:gapWidth val="157"/>
        <c:overlap val="100"/>
        <c:axId val="1290475455"/>
        <c:axId val="1290479199"/>
      </c:barChart>
      <c:catAx>
        <c:axId val="1290475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Delicious" pitchFamily="50" charset="0"/>
                <a:ea typeface="+mn-ea"/>
                <a:cs typeface="+mn-cs"/>
              </a:defRPr>
            </a:pPr>
            <a:endParaRPr lang="fr-FR"/>
          </a:p>
        </c:txPr>
        <c:crossAx val="1290479199"/>
        <c:crosses val="autoZero"/>
        <c:auto val="1"/>
        <c:lblAlgn val="ctr"/>
        <c:lblOffset val="100"/>
        <c:noMultiLvlLbl val="0"/>
      </c:catAx>
      <c:valAx>
        <c:axId val="129047919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90475455"/>
        <c:crosses val="autoZero"/>
        <c:crossBetween val="between"/>
      </c:valAx>
      <c:spPr>
        <a:noFill/>
        <a:ln>
          <a:noFill/>
        </a:ln>
        <a:effectLst/>
      </c:spPr>
    </c:plotArea>
    <c:legend>
      <c:legendPos val="b"/>
      <c:layout>
        <c:manualLayout>
          <c:xMode val="edge"/>
          <c:yMode val="edge"/>
          <c:x val="0.44738387157315046"/>
          <c:y val="0.14003170972731091"/>
          <c:w val="0.34286172512807228"/>
          <c:h val="6.803222429566246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Delicious" pitchFamily="50" charset="0"/>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a:latin typeface="Delicious" pitchFamily="50" charset="0"/>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888550282977796E-2"/>
          <c:y val="6.7838421214924449E-2"/>
          <c:w val="0.90422289943404444"/>
          <c:h val="0.83497636338473402"/>
        </c:manualLayout>
      </c:layout>
      <c:barChart>
        <c:barDir val="col"/>
        <c:grouping val="stacked"/>
        <c:varyColors val="0"/>
        <c:ser>
          <c:idx val="0"/>
          <c:order val="0"/>
          <c:tx>
            <c:strRef>
              <c:f>Feuil1!$B$1</c:f>
              <c:strCache>
                <c:ptCount val="1"/>
                <c:pt idx="0">
                  <c:v>Blessés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Delicious"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Feuil1!$A$2:$A$9</c:f>
              <c:strCache>
                <c:ptCount val="8"/>
                <c:pt idx="0">
                  <c:v>0-14</c:v>
                </c:pt>
                <c:pt idx="1">
                  <c:v>15-24</c:v>
                </c:pt>
                <c:pt idx="2">
                  <c:v>25-34</c:v>
                </c:pt>
                <c:pt idx="3">
                  <c:v>35-44</c:v>
                </c:pt>
                <c:pt idx="4">
                  <c:v>45-54</c:v>
                </c:pt>
                <c:pt idx="5">
                  <c:v>55-64</c:v>
                </c:pt>
                <c:pt idx="6">
                  <c:v>65-74</c:v>
                </c:pt>
                <c:pt idx="7">
                  <c:v>75 et +</c:v>
                </c:pt>
              </c:strCache>
            </c:strRef>
          </c:cat>
          <c:val>
            <c:numRef>
              <c:f>Feuil1!$B$2:$B$9</c:f>
              <c:numCache>
                <c:formatCode>General</c:formatCode>
                <c:ptCount val="8"/>
                <c:pt idx="0">
                  <c:v>363</c:v>
                </c:pt>
                <c:pt idx="1">
                  <c:v>867</c:v>
                </c:pt>
                <c:pt idx="2">
                  <c:v>792</c:v>
                </c:pt>
                <c:pt idx="3">
                  <c:v>588</c:v>
                </c:pt>
                <c:pt idx="4">
                  <c:v>649</c:v>
                </c:pt>
                <c:pt idx="5">
                  <c:v>601</c:v>
                </c:pt>
                <c:pt idx="6">
                  <c:v>423</c:v>
                </c:pt>
                <c:pt idx="7">
                  <c:v>221</c:v>
                </c:pt>
              </c:numCache>
            </c:numRef>
          </c:val>
          <c:extLst>
            <c:ext xmlns:c16="http://schemas.microsoft.com/office/drawing/2014/chart" uri="{C3380CC4-5D6E-409C-BE32-E72D297353CC}">
              <c16:uniqueId val="{00000000-059D-454C-8D92-B687C7106413}"/>
            </c:ext>
          </c:extLst>
        </c:ser>
        <c:ser>
          <c:idx val="1"/>
          <c:order val="1"/>
          <c:tx>
            <c:strRef>
              <c:f>Feuil1!$C$1</c:f>
              <c:strCache>
                <c:ptCount val="1"/>
                <c:pt idx="0">
                  <c:v>Tués</c:v>
                </c:pt>
              </c:strCache>
            </c:strRef>
          </c:tx>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Delicious"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Feuil1!$A$2:$A$9</c:f>
              <c:strCache>
                <c:ptCount val="8"/>
                <c:pt idx="0">
                  <c:v>0-14</c:v>
                </c:pt>
                <c:pt idx="1">
                  <c:v>15-24</c:v>
                </c:pt>
                <c:pt idx="2">
                  <c:v>25-34</c:v>
                </c:pt>
                <c:pt idx="3">
                  <c:v>35-44</c:v>
                </c:pt>
                <c:pt idx="4">
                  <c:v>45-54</c:v>
                </c:pt>
                <c:pt idx="5">
                  <c:v>55-64</c:v>
                </c:pt>
                <c:pt idx="6">
                  <c:v>65-74</c:v>
                </c:pt>
                <c:pt idx="7">
                  <c:v>75 et +</c:v>
                </c:pt>
              </c:strCache>
            </c:strRef>
          </c:cat>
          <c:val>
            <c:numRef>
              <c:f>Feuil1!$C$2:$C$9</c:f>
              <c:numCache>
                <c:formatCode>General</c:formatCode>
                <c:ptCount val="8"/>
                <c:pt idx="0">
                  <c:v>6</c:v>
                </c:pt>
                <c:pt idx="1">
                  <c:v>16</c:v>
                </c:pt>
                <c:pt idx="2">
                  <c:v>12</c:v>
                </c:pt>
                <c:pt idx="3">
                  <c:v>14</c:v>
                </c:pt>
                <c:pt idx="4">
                  <c:v>14</c:v>
                </c:pt>
                <c:pt idx="5">
                  <c:v>47</c:v>
                </c:pt>
                <c:pt idx="6">
                  <c:v>44</c:v>
                </c:pt>
                <c:pt idx="7">
                  <c:v>34</c:v>
                </c:pt>
              </c:numCache>
            </c:numRef>
          </c:val>
          <c:extLst>
            <c:ext xmlns:c16="http://schemas.microsoft.com/office/drawing/2014/chart" uri="{C3380CC4-5D6E-409C-BE32-E72D297353CC}">
              <c16:uniqueId val="{00000001-059D-454C-8D92-B687C7106413}"/>
            </c:ext>
          </c:extLst>
        </c:ser>
        <c:dLbls>
          <c:showLegendKey val="0"/>
          <c:showVal val="0"/>
          <c:showCatName val="0"/>
          <c:showSerName val="0"/>
          <c:showPercent val="0"/>
          <c:showBubbleSize val="0"/>
        </c:dLbls>
        <c:gapWidth val="157"/>
        <c:overlap val="100"/>
        <c:axId val="1290475455"/>
        <c:axId val="1290479199"/>
      </c:barChart>
      <c:catAx>
        <c:axId val="1290475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Delicious" pitchFamily="50" charset="0"/>
                <a:ea typeface="+mn-ea"/>
                <a:cs typeface="+mn-cs"/>
              </a:defRPr>
            </a:pPr>
            <a:endParaRPr lang="fr-FR"/>
          </a:p>
        </c:txPr>
        <c:crossAx val="1290479199"/>
        <c:crosses val="autoZero"/>
        <c:auto val="1"/>
        <c:lblAlgn val="ctr"/>
        <c:lblOffset val="100"/>
        <c:noMultiLvlLbl val="0"/>
      </c:catAx>
      <c:valAx>
        <c:axId val="129047919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90475455"/>
        <c:crosses val="autoZero"/>
        <c:crossBetween val="between"/>
      </c:valAx>
      <c:spPr>
        <a:noFill/>
        <a:ln>
          <a:noFill/>
        </a:ln>
        <a:effectLst/>
      </c:spPr>
    </c:plotArea>
    <c:legend>
      <c:legendPos val="b"/>
      <c:layout>
        <c:manualLayout>
          <c:xMode val="edge"/>
          <c:yMode val="edge"/>
          <c:x val="0.44738387157315046"/>
          <c:y val="0.14003170972731091"/>
          <c:w val="0.34286172512807228"/>
          <c:h val="6.803222429566246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Delicious" pitchFamily="50"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Delicious" pitchFamily="50" charset="0"/>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105442176870752"/>
          <c:y val="0.37276362700425159"/>
          <c:w val="0.53489520371156929"/>
          <c:h val="0.62426026195878059"/>
        </c:manualLayout>
      </c:layout>
      <c:pieChart>
        <c:varyColors val="1"/>
        <c:ser>
          <c:idx val="0"/>
          <c:order val="0"/>
          <c:tx>
            <c:strRef>
              <c:f>Feuil1!$B$1</c:f>
              <c:strCache>
                <c:ptCount val="1"/>
                <c:pt idx="0">
                  <c:v>Ventes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B2-4D70-BE25-7FDFEF2A78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B2-4D70-BE25-7FDFEF2A78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B2-4D70-BE25-7FDFEF2A787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B2-4D70-BE25-7FDFEF2A787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1B2-4D70-BE25-7FDFEF2A787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1B2-4D70-BE25-7FDFEF2A787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1B2-4D70-BE25-7FDFEF2A787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1B2-4D70-BE25-7FDFEF2A7871}"/>
              </c:ext>
            </c:extLst>
          </c:dPt>
          <c:dLbls>
            <c:dLbl>
              <c:idx val="2"/>
              <c:layout>
                <c:manualLayout>
                  <c:x val="-6.7427385892116207E-2"/>
                  <c:y val="-2.7743828007791752E-17"/>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F1B2-4D70-BE25-7FDFEF2A7871}"/>
                </c:ext>
              </c:extLst>
            </c:dLbl>
            <c:dLbl>
              <c:idx val="3"/>
              <c:layout>
                <c:manualLayout>
                  <c:x val="-8.2987551867219969E-2"/>
                  <c:y val="-1.815980629539954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1B2-4D70-BE25-7FDFEF2A7871}"/>
                </c:ext>
              </c:extLst>
            </c:dLbl>
            <c:dLbl>
              <c:idx val="5"/>
              <c:layout>
                <c:manualLayout>
                  <c:x val="5.1867219917012451E-2"/>
                  <c:y val="-1.2106537530266344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F1B2-4D70-BE25-7FDFEF2A7871}"/>
                </c:ext>
              </c:extLst>
            </c:dLbl>
            <c:dLbl>
              <c:idx val="6"/>
              <c:layout>
                <c:manualLayout>
                  <c:x val="5.7053941908713601E-2"/>
                  <c:y val="4.8426150121065374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F1B2-4D70-BE25-7FDFEF2A7871}"/>
                </c:ext>
              </c:extLst>
            </c:dLbl>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Delicious" pitchFamily="50" charset="0"/>
                    <a:ea typeface="+mn-ea"/>
                    <a:cs typeface="+mn-cs"/>
                  </a:defRPr>
                </a:pPr>
                <a:endParaRPr lang="fr-FR"/>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Feuil1!$A$2:$A$9</c:f>
              <c:strCache>
                <c:ptCount val="7"/>
                <c:pt idx="0">
                  <c:v>Sans tiers</c:v>
                </c:pt>
                <c:pt idx="1">
                  <c:v>Véhicule tourisme</c:v>
                </c:pt>
                <c:pt idx="2">
                  <c:v>Camion, bus</c:v>
                </c:pt>
                <c:pt idx="3">
                  <c:v>Vélo, EDPM</c:v>
                </c:pt>
                <c:pt idx="4">
                  <c:v>Cyclo, moto</c:v>
                </c:pt>
                <c:pt idx="5">
                  <c:v>Autre</c:v>
                </c:pt>
                <c:pt idx="6">
                  <c:v>Utilitaire</c:v>
                </c:pt>
              </c:strCache>
            </c:strRef>
          </c:cat>
          <c:val>
            <c:numRef>
              <c:f>Feuil1!$B$2:$B$9</c:f>
              <c:numCache>
                <c:formatCode>General</c:formatCode>
                <c:ptCount val="8"/>
                <c:pt idx="0">
                  <c:v>47</c:v>
                </c:pt>
                <c:pt idx="1">
                  <c:v>82</c:v>
                </c:pt>
                <c:pt idx="2">
                  <c:v>25</c:v>
                </c:pt>
                <c:pt idx="3">
                  <c:v>6</c:v>
                </c:pt>
                <c:pt idx="4">
                  <c:v>2</c:v>
                </c:pt>
                <c:pt idx="5">
                  <c:v>7</c:v>
                </c:pt>
                <c:pt idx="6">
                  <c:v>13</c:v>
                </c:pt>
              </c:numCache>
            </c:numRef>
          </c:val>
          <c:extLst>
            <c:ext xmlns:c16="http://schemas.microsoft.com/office/drawing/2014/chart" uri="{C3380CC4-5D6E-409C-BE32-E72D297353CC}">
              <c16:uniqueId val="{00000010-F1B2-4D70-BE25-7FDFEF2A7871}"/>
            </c:ext>
          </c:extLst>
        </c:ser>
        <c:dLbls>
          <c:showLegendKey val="0"/>
          <c:showVal val="0"/>
          <c:showCatName val="0"/>
          <c:showSerName val="0"/>
          <c:showPercent val="0"/>
          <c:showBubbleSize val="0"/>
          <c:showLeaderLines val="1"/>
        </c:dLbls>
        <c:firstSliceAng val="52"/>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latin typeface="Delicious" pitchFamily="50" charset="0"/>
        </a:defRPr>
      </a:pPr>
      <a:endParaRPr lang="fr-FR"/>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105442176870752"/>
          <c:y val="0.37276362700425159"/>
          <c:w val="0.53489520371156929"/>
          <c:h val="0.62426026195878059"/>
        </c:manualLayout>
      </c:layout>
      <c:pieChart>
        <c:varyColors val="1"/>
        <c:ser>
          <c:idx val="0"/>
          <c:order val="0"/>
          <c:tx>
            <c:strRef>
              <c:f>Feuil1!$B$1</c:f>
              <c:strCache>
                <c:ptCount val="1"/>
                <c:pt idx="0">
                  <c:v>Ventes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B2-4D70-BE25-7FDFEF2A78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B2-4D70-BE25-7FDFEF2A78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B2-4D70-BE25-7FDFEF2A787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B2-4D70-BE25-7FDFEF2A787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1B2-4D70-BE25-7FDFEF2A787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1B2-4D70-BE25-7FDFEF2A787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1B2-4D70-BE25-7FDFEF2A787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1B2-4D70-BE25-7FDFEF2A7871}"/>
              </c:ext>
            </c:extLst>
          </c:dPt>
          <c:dLbls>
            <c:dLbl>
              <c:idx val="2"/>
              <c:layout>
                <c:manualLayout>
                  <c:x val="-6.7427385892116207E-2"/>
                  <c:y val="-2.7743828007791752E-17"/>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F1B2-4D70-BE25-7FDFEF2A7871}"/>
                </c:ext>
              </c:extLst>
            </c:dLbl>
            <c:dLbl>
              <c:idx val="3"/>
              <c:layout>
                <c:manualLayout>
                  <c:x val="-8.2987551867219969E-2"/>
                  <c:y val="-1.815980629539954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1B2-4D70-BE25-7FDFEF2A7871}"/>
                </c:ext>
              </c:extLst>
            </c:dLbl>
            <c:dLbl>
              <c:idx val="5"/>
              <c:layout>
                <c:manualLayout>
                  <c:x val="5.1867219917012451E-2"/>
                  <c:y val="-1.2106537530266344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F1B2-4D70-BE25-7FDFEF2A7871}"/>
                </c:ext>
              </c:extLst>
            </c:dLbl>
            <c:dLbl>
              <c:idx val="6"/>
              <c:layout>
                <c:manualLayout>
                  <c:x val="5.7053941908713601E-2"/>
                  <c:y val="4.8426150121065374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F1B2-4D70-BE25-7FDFEF2A7871}"/>
                </c:ext>
              </c:extLst>
            </c:dLbl>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Delicious" pitchFamily="50" charset="0"/>
                    <a:ea typeface="+mn-ea"/>
                    <a:cs typeface="+mn-cs"/>
                  </a:defRPr>
                </a:pPr>
                <a:endParaRPr lang="fr-FR"/>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Feuil1!$A$2:$A$9</c:f>
              <c:strCache>
                <c:ptCount val="7"/>
                <c:pt idx="0">
                  <c:v>Sans tiers</c:v>
                </c:pt>
                <c:pt idx="1">
                  <c:v>Véhicule tourisme</c:v>
                </c:pt>
                <c:pt idx="2">
                  <c:v>Camion, bus</c:v>
                </c:pt>
                <c:pt idx="3">
                  <c:v>Vélo, EDPM</c:v>
                </c:pt>
                <c:pt idx="4">
                  <c:v>Cyclo, moto</c:v>
                </c:pt>
                <c:pt idx="5">
                  <c:v>Autre</c:v>
                </c:pt>
                <c:pt idx="6">
                  <c:v>Utilitaire</c:v>
                </c:pt>
              </c:strCache>
            </c:strRef>
          </c:cat>
          <c:val>
            <c:numRef>
              <c:f>Feuil1!$B$2:$B$9</c:f>
              <c:numCache>
                <c:formatCode>General</c:formatCode>
                <c:ptCount val="8"/>
                <c:pt idx="0">
                  <c:v>47</c:v>
                </c:pt>
                <c:pt idx="1">
                  <c:v>82</c:v>
                </c:pt>
                <c:pt idx="2">
                  <c:v>25</c:v>
                </c:pt>
                <c:pt idx="3">
                  <c:v>6</c:v>
                </c:pt>
                <c:pt idx="4">
                  <c:v>2</c:v>
                </c:pt>
                <c:pt idx="5">
                  <c:v>7</c:v>
                </c:pt>
                <c:pt idx="6">
                  <c:v>13</c:v>
                </c:pt>
              </c:numCache>
            </c:numRef>
          </c:val>
          <c:extLst>
            <c:ext xmlns:c16="http://schemas.microsoft.com/office/drawing/2014/chart" uri="{C3380CC4-5D6E-409C-BE32-E72D297353CC}">
              <c16:uniqueId val="{00000010-F1B2-4D70-BE25-7FDFEF2A7871}"/>
            </c:ext>
          </c:extLst>
        </c:ser>
        <c:dLbls>
          <c:showLegendKey val="0"/>
          <c:showVal val="0"/>
          <c:showCatName val="0"/>
          <c:showSerName val="0"/>
          <c:showPercent val="0"/>
          <c:showBubbleSize val="0"/>
          <c:showLeaderLines val="1"/>
        </c:dLbls>
        <c:firstSliceAng val="52"/>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Delicious" pitchFamily="50"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09AF2-2F68-4B85-9CA4-9EC21C3B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2256</Words>
  <Characters>12409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Plancke</dc:creator>
  <cp:keywords/>
  <dc:description/>
  <cp:lastModifiedBy>pc</cp:lastModifiedBy>
  <cp:revision>2</cp:revision>
  <dcterms:created xsi:type="dcterms:W3CDTF">2021-01-04T08:33:00Z</dcterms:created>
  <dcterms:modified xsi:type="dcterms:W3CDTF">2021-01-04T08:33:00Z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id="g9yiolfG"/&gt;&lt;style id="http://www.zotero.org/styles/vancouver" locale="fr-FR" hasBibliography="1" bibliographyStyleHasBeenSet="1"/&gt;&lt;prefs&gt;&lt;pref name="fieldType" value="Field"/&gt;&lt;/prefs&gt;&lt;/data&gt;</vt:lpwstr>
  </property>
</Properties>
</file>