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1A" w:rsidRPr="0048731A" w:rsidRDefault="0048731A" w:rsidP="0048731A">
      <w:pPr>
        <w:pStyle w:val="Titre1"/>
        <w:jc w:val="both"/>
      </w:pPr>
      <w:r w:rsidRPr="0048731A">
        <w:rPr>
          <w:rStyle w:val="author-a-m9z67zgz65zfsz77ztv7qjexz83z"/>
        </w:rPr>
        <w:t>Le Rectorat agit en faveur de l’</w:t>
      </w:r>
      <w:proofErr w:type="spellStart"/>
      <w:r w:rsidRPr="0048731A">
        <w:rPr>
          <w:rStyle w:val="author-a-m9z67zgz65zfsz77ztv7qjexz83z"/>
        </w:rPr>
        <w:t>écomobilité</w:t>
      </w:r>
      <w:proofErr w:type="spellEnd"/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>L’engagement du Rectorat pour le déploiement des PDES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>En 2014, le Plan de Protection de l’Atmosphère du Nord et du Pas-de-Calais imposait la mise en place de PDES (Plan de Déplacement Établissement Scolaire) pour tout établissement accueillant plus de 250 personnes (élèves et personnels). Cependant cette mesure a eu peu d’effet à ce jour, puisque très peu d’établissements se sont engagés dans cette démarche.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>Or, le territoire est fortement soumis aux enjeux en terme de qualité de l’air. Ainsi, dans le Nord et Pas-de-Calais, plus de 50% des émissions d’oxyde d’azote sont liées au secteur des transports. En outre, plus de 50% des émissions de polluants en région Hauts-de-France sont issus des deux départements NPDC. Ces départements ont donc un poids conséquent dans les émissions régionales.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>Afin d’y remédier, le Rectorat s’est engagé pour développer la mise en œuvre des PDES dans les collèges en commençant par une expérimentation sur 4 bassins territoriaux : Béthune-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Bruay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>, le Valenciennois, l’Avesnois et le Cambrésis. Les autres bassins seront progressivement couverts d’ici 2022. En effet, travailler sur l’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écomobilité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 a des impacts écologiques et sanitaires multiples, en agissant non seulement sur les élèves, mais aussi sur les parents.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 xml:space="preserve">La démarche a été officiellement lancée le 13 novembre 2019, lors d’un séminaire sur la mise en place de PDES. Les collèges des bassins ciblés étaient invités à cette journée. Ce séminaire a été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co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-organisé par le Rectorat, le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Crem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, l’ARS (Agence Régionale de Santé), la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Dreal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,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Atmo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 Hauts-de-France, le département du Nord et l’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Ademe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>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 xml:space="preserve">Le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Crem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 (Centre de ressource en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écomobilité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>) s’investit dans cette dynamique, puisqu’il accompagne déjà des établissements dans la mise en place de plan de mobilité. Notamment via la mise à disposition sur le site ecomobilite.org d’une boîte à outils dédiée au PDES.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</w:rPr>
        <w:t>Ainsi le Rectorat joue un rôle de facilitateur de réseau dans la démarche, il veut soutenir les établissements du secondaire pour travailler sur l’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écomobilité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 xml:space="preserve"> avec les élèves, leurs parents, ainsi que le personnel des collèges, former les référents et leur apporter les outils méthodologiques. La volonté est de déployer à terme une centaine de PDES sur l’académie de Lille. Afin d’accompagner ce déploiement, un poste de chargé de mission spécifique devrait être rapidement créé au sein de l’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</w:rPr>
        <w:t>Adav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</w:rPr>
        <w:t>. L’objectif, sur 3 ans est de piloter cette mission en lien avec le rectorat et les partenaires associés. </w:t>
      </w: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</w:p>
    <w:p w:rsidR="0048731A" w:rsidRPr="0048731A" w:rsidRDefault="0048731A" w:rsidP="0048731A">
      <w:pPr>
        <w:jc w:val="both"/>
        <w:rPr>
          <w:rFonts w:ascii="Times New Roman" w:hAnsi="Times New Roman" w:cs="Times New Roman"/>
        </w:rPr>
      </w:pPr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>A</w:t>
      </w:r>
      <w:r w:rsidRPr="0048731A">
        <w:rPr>
          <w:rStyle w:val="author-a-z78zjxpdrmz71zz88zcz88zwz84zz68zz81zz122z"/>
          <w:rFonts w:ascii="Times New Roman" w:hAnsi="Times New Roman" w:cs="Times New Roman"/>
          <w:b/>
          <w:bCs/>
        </w:rPr>
        <w:t xml:space="preserve">mandine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>G</w:t>
      </w:r>
      <w:r w:rsidRPr="0048731A">
        <w:rPr>
          <w:rStyle w:val="author-a-z78zjxpdrmz71zz88zcz88zwz84zz68zz81zz122z"/>
          <w:rFonts w:ascii="Times New Roman" w:hAnsi="Times New Roman" w:cs="Times New Roman"/>
          <w:b/>
          <w:bCs/>
        </w:rPr>
        <w:t>abriels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 xml:space="preserve"> et J</w:t>
      </w:r>
      <w:r w:rsidRPr="0048731A">
        <w:rPr>
          <w:rStyle w:val="author-a-z78zjxpdrmz71zz88zcz88zwz84zz68zz81zz122z"/>
          <w:rFonts w:ascii="Times New Roman" w:hAnsi="Times New Roman" w:cs="Times New Roman"/>
          <w:b/>
          <w:bCs/>
        </w:rPr>
        <w:t xml:space="preserve">udicaël </w:t>
      </w:r>
      <w:proofErr w:type="spellStart"/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>P</w:t>
      </w:r>
      <w:r w:rsidRPr="0048731A">
        <w:rPr>
          <w:rStyle w:val="author-a-z78zjxpdrmz71zz88zcz88zwz84zz68zz81zz122z"/>
          <w:rFonts w:ascii="Times New Roman" w:hAnsi="Times New Roman" w:cs="Times New Roman"/>
          <w:b/>
          <w:bCs/>
        </w:rPr>
        <w:t>otonnec</w:t>
      </w:r>
      <w:proofErr w:type="spellEnd"/>
      <w:r w:rsidRPr="0048731A">
        <w:rPr>
          <w:rStyle w:val="author-a-m9z67zgz65zfsz77ztv7qjexz83z"/>
          <w:rFonts w:ascii="Times New Roman" w:hAnsi="Times New Roman" w:cs="Times New Roman"/>
          <w:b/>
          <w:bCs/>
        </w:rPr>
        <w:t>. </w:t>
      </w:r>
      <w:bookmarkStart w:id="0" w:name="_GoBack"/>
      <w:bookmarkEnd w:id="0"/>
    </w:p>
    <w:p w:rsidR="00D30152" w:rsidRPr="0048731A" w:rsidRDefault="00D30152" w:rsidP="0048731A">
      <w:pPr>
        <w:jc w:val="both"/>
        <w:rPr>
          <w:rFonts w:ascii="Times New Roman" w:hAnsi="Times New Roman" w:cs="Times New Roman"/>
        </w:rPr>
      </w:pPr>
    </w:p>
    <w:sectPr w:rsidR="00D30152" w:rsidRPr="0048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13"/>
    <w:rsid w:val="0048731A"/>
    <w:rsid w:val="006F0E13"/>
    <w:rsid w:val="00D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457"/>
  <w15:chartTrackingRefBased/>
  <w15:docId w15:val="{0F8CB4FE-5B1C-49F4-8C86-4538954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E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uthor-a-m9z67zgz65zfsz77ztv7qjexz83z">
    <w:name w:val="author-a-m9z67zgz65zfsz77ztv7qjexz83z"/>
    <w:basedOn w:val="Policepardfaut"/>
    <w:rsid w:val="006F0E13"/>
  </w:style>
  <w:style w:type="character" w:customStyle="1" w:styleId="author-a-z82zz72zz66zz66zz79zz71z9z82zz80zrey8z67z50">
    <w:name w:val="author-a-z82zz72zz66zz66zz79zz71z9z82zz80zrey8z67z50"/>
    <w:basedOn w:val="Policepardfaut"/>
    <w:rsid w:val="0048731A"/>
  </w:style>
  <w:style w:type="character" w:customStyle="1" w:styleId="author-a-4v9z122zz87zt9i330z77zz70zz80zz79zv">
    <w:name w:val="author-a-4v9z122zz87zt9i330z77zz70zz80zz79zv"/>
    <w:basedOn w:val="Policepardfaut"/>
    <w:rsid w:val="0048731A"/>
  </w:style>
  <w:style w:type="character" w:customStyle="1" w:styleId="author-a-z78zjxpdrmz71zz88zcz88zwz84zz68zz81zz122z">
    <w:name w:val="author-a-z78zjxpdrmz71zz88zcz88zwz84zz68zz81zz122z"/>
    <w:basedOn w:val="Policepardfaut"/>
    <w:rsid w:val="0048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2020-01-10T14:25:00Z</dcterms:created>
  <dcterms:modified xsi:type="dcterms:W3CDTF">2020-01-20T08:51:00Z</dcterms:modified>
</cp:coreProperties>
</file>