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b w:val="false"/>
          <w:b w:val="false"/>
          <w:bCs w:val="false"/>
          <w:sz w:val="20"/>
          <w:szCs w:val="20"/>
        </w:rPr>
      </w:pPr>
      <w:r>
        <w:rPr>
          <w:rFonts w:ascii="Arial" w:hAnsi="Arial"/>
          <w:b w:val="false"/>
          <w:bCs w:val="false"/>
          <w:sz w:val="20"/>
          <w:szCs w:val="20"/>
        </w:rPr>
      </w:r>
    </w:p>
    <w:p>
      <w:pPr>
        <w:pStyle w:val="Normal"/>
        <w:rPr>
          <w:rFonts w:ascii="Calibri" w:hAnsi="Calibri"/>
          <w:b/>
          <w:b/>
          <w:sz w:val="40"/>
          <w:szCs w:val="40"/>
        </w:rPr>
      </w:pPr>
      <w:r>
        <w:rPr>
          <w:rFonts w:ascii="Arial" w:hAnsi="Arial"/>
          <w:b w:val="false"/>
          <w:bCs w:val="false"/>
          <w:sz w:val="20"/>
          <w:szCs w:val="20"/>
        </w:rPr>
        <w:t>L’ambassade du vélo, un concept qui signe la maturité d’une politique cyclable nationale</w:t>
      </w:r>
    </w:p>
    <w:p>
      <w:pPr>
        <w:pStyle w:val="Normal"/>
        <w:rPr>
          <w:rFonts w:ascii="Calibri" w:hAnsi="Calibri"/>
          <w:b/>
          <w:b/>
          <w:sz w:val="32"/>
          <w:szCs w:val="32"/>
        </w:rPr>
      </w:pPr>
      <w:r>
        <w:rPr>
          <w:rFonts w:ascii="Arial" w:hAnsi="Arial"/>
          <w:b w:val="false"/>
          <w:bCs w:val="false"/>
          <w:sz w:val="20"/>
          <w:szCs w:val="20"/>
        </w:rPr>
        <w:t>Velocity 2015 à Nantes : l’ADAV y était</w:t>
      </w:r>
    </w:p>
    <w:p>
      <w:pPr>
        <w:pStyle w:val="Normal"/>
        <w:rPr>
          <w:rFonts w:ascii="Arial" w:hAnsi="Arial"/>
          <w:b w:val="false"/>
          <w:b w:val="false"/>
          <w:bCs w:val="false"/>
          <w:sz w:val="20"/>
          <w:szCs w:val="20"/>
        </w:rPr>
      </w:pPr>
      <w:r>
        <w:rPr>
          <w:rFonts w:ascii="Arial" w:hAnsi="Arial"/>
          <w:b w:val="false"/>
          <w:bCs w:val="false"/>
          <w:sz w:val="20"/>
          <w:szCs w:val="20"/>
        </w:rPr>
      </w:r>
    </w:p>
    <w:p>
      <w:pPr>
        <w:pStyle w:val="Normal"/>
        <w:jc w:val="both"/>
        <w:rPr>
          <w:rFonts w:ascii="Arial" w:hAnsi="Arial"/>
          <w:b w:val="false"/>
          <w:b w:val="false"/>
          <w:bCs w:val="false"/>
          <w:sz w:val="20"/>
          <w:szCs w:val="20"/>
        </w:rPr>
      </w:pPr>
      <w:r>
        <w:rPr>
          <w:rFonts w:ascii="Arial" w:hAnsi="Arial"/>
          <w:b w:val="false"/>
          <w:bCs w:val="false"/>
          <w:sz w:val="20"/>
          <w:szCs w:val="20"/>
        </w:rPr>
        <w:t>L’événement, d’envergure mondiale depuis plusieurs années, a attiré plus de 1 500 participants d’origine</w:t>
      </w:r>
      <w:r>
        <w:rPr>
          <w:rFonts w:ascii="Arial" w:hAnsi="Arial"/>
          <w:b w:val="false"/>
          <w:bCs w:val="false"/>
          <w:sz w:val="20"/>
          <w:szCs w:val="20"/>
        </w:rPr>
        <w:t>s</w:t>
      </w:r>
      <w:r>
        <w:rPr>
          <w:rFonts w:ascii="Arial" w:hAnsi="Arial"/>
          <w:b w:val="false"/>
          <w:bCs w:val="false"/>
          <w:sz w:val="20"/>
          <w:szCs w:val="20"/>
        </w:rPr>
        <w:t xml:space="preserve"> diverse</w:t>
      </w:r>
      <w:r>
        <w:rPr>
          <w:rFonts w:ascii="Arial" w:hAnsi="Arial"/>
          <w:b w:val="false"/>
          <w:bCs w:val="false"/>
          <w:sz w:val="20"/>
          <w:szCs w:val="20"/>
        </w:rPr>
        <w:t>s</w:t>
      </w:r>
      <w:r>
        <w:rPr>
          <w:rFonts w:ascii="Arial" w:hAnsi="Arial"/>
          <w:b w:val="false"/>
          <w:bCs w:val="false"/>
          <w:sz w:val="20"/>
          <w:szCs w:val="20"/>
        </w:rPr>
        <w:t xml:space="preserve">, tant au niveau de leur répartition géographique que des structures qu’ils représentaient : la plupart des pays d’Europe, mais aussi des quatre coins du globe, des associations, des entreprises, des collectivités. La France était elle aussi bien représentée avec un pavillon regroupant la FUB, l’AF3V, le Cerema. </w:t>
      </w:r>
    </w:p>
    <w:p>
      <w:pPr>
        <w:pStyle w:val="Normal"/>
        <w:jc w:val="both"/>
        <w:rPr>
          <w:rFonts w:ascii="Arial" w:hAnsi="Arial"/>
          <w:b w:val="false"/>
          <w:b w:val="false"/>
          <w:bCs w:val="false"/>
          <w:sz w:val="20"/>
          <w:szCs w:val="20"/>
        </w:rPr>
      </w:pPr>
      <w:r>
        <w:rPr>
          <w:rFonts w:ascii="Arial" w:hAnsi="Arial"/>
          <w:b w:val="false"/>
          <w:bCs w:val="false"/>
          <w:sz w:val="20"/>
          <w:szCs w:val="20"/>
        </w:rPr>
      </w:r>
    </w:p>
    <w:p>
      <w:pPr>
        <w:pStyle w:val="Normal"/>
        <w:jc w:val="both"/>
        <w:rPr>
          <w:rFonts w:ascii="Calibri" w:hAnsi="Calibri"/>
        </w:rPr>
      </w:pPr>
      <w:r>
        <w:rPr>
          <w:rFonts w:ascii="Arial" w:hAnsi="Arial"/>
          <w:b w:val="false"/>
          <w:bCs w:val="false"/>
          <w:sz w:val="20"/>
          <w:szCs w:val="20"/>
        </w:rPr>
        <w:t xml:space="preserve">Elle faisait cependant pâle figure face aux mastodontes que sont le Danemark et les Pays-Bas, qui ont initié les premières ambassades du vélo, dès 2009 pour le premier, rejoint par la concurrence batave quelques années plus tard, s’en voulant d’être le pays le plus en pointe et de ne pas en être suffisamment conscient pour le crier sur les toits au point de se faire voler la vedette. </w:t>
      </w:r>
    </w:p>
    <w:p>
      <w:pPr>
        <w:pStyle w:val="Normal"/>
        <w:jc w:val="both"/>
        <w:rPr>
          <w:rFonts w:ascii="Arial" w:hAnsi="Arial"/>
          <w:b w:val="false"/>
          <w:b w:val="false"/>
          <w:bCs w:val="false"/>
          <w:sz w:val="20"/>
          <w:szCs w:val="20"/>
        </w:rPr>
      </w:pPr>
      <w:r>
        <w:rPr>
          <w:rFonts w:ascii="Arial" w:hAnsi="Arial"/>
          <w:b w:val="false"/>
          <w:bCs w:val="false"/>
          <w:sz w:val="20"/>
          <w:szCs w:val="20"/>
        </w:rPr>
      </w:r>
    </w:p>
    <w:p>
      <w:pPr>
        <w:pStyle w:val="Normal"/>
        <w:jc w:val="both"/>
        <w:rPr>
          <w:rFonts w:ascii="Calibri" w:hAnsi="Calibri"/>
        </w:rPr>
      </w:pPr>
      <w:r>
        <w:rPr>
          <w:rFonts w:ascii="Arial" w:hAnsi="Arial"/>
          <w:b w:val="false"/>
          <w:bCs w:val="false"/>
          <w:sz w:val="20"/>
          <w:szCs w:val="20"/>
        </w:rPr>
        <w:t xml:space="preserve">Ces deux pays, outre le fait qu’ils bénéficient d’une politique cyclable globale, ont parallèlement su organiser la dynamique autour du vélo pour en faire une véritable force de frappe, au-delà des divergences et intérêts particuliers puisque leurs ambassades regroupent à la fois les fédérations d’associations de cyclistes, des entreprises et des institutions. </w:t>
      </w:r>
    </w:p>
    <w:p>
      <w:pPr>
        <w:pStyle w:val="Normal"/>
        <w:jc w:val="both"/>
        <w:rPr>
          <w:rFonts w:ascii="Arial" w:hAnsi="Arial"/>
          <w:b w:val="false"/>
          <w:b w:val="false"/>
          <w:bCs w:val="false"/>
          <w:sz w:val="20"/>
          <w:szCs w:val="20"/>
        </w:rPr>
      </w:pPr>
      <w:r>
        <w:rPr>
          <w:rFonts w:ascii="Arial" w:hAnsi="Arial"/>
          <w:b w:val="false"/>
          <w:bCs w:val="false"/>
          <w:sz w:val="20"/>
          <w:szCs w:val="20"/>
        </w:rPr>
      </w:r>
    </w:p>
    <w:p>
      <w:pPr>
        <w:pStyle w:val="Normal"/>
        <w:jc w:val="both"/>
        <w:rPr>
          <w:rFonts w:ascii="Calibri" w:hAnsi="Calibri"/>
        </w:rPr>
      </w:pPr>
      <w:r>
        <w:rPr>
          <w:rFonts w:ascii="Arial" w:hAnsi="Arial"/>
          <w:b w:val="false"/>
          <w:bCs w:val="false"/>
          <w:sz w:val="20"/>
          <w:szCs w:val="20"/>
        </w:rPr>
        <w:t>Selon Marianne Weinreich, chargée de la mobilité pour Veksø, une entreprise de design qui intervient entre autres au sujet du vélo et l’une des structures à l’origine de la Cycling Embassy of Denmark, rencontrée pendant la conférence, il était indispensable que le lobby converge vers une plateforme unique, à la fois pour faciliter les échanges à l’international, mais aussi devenir une puissante caisse de résonance à l’échelle nationale.</w:t>
      </w:r>
    </w:p>
    <w:p>
      <w:pPr>
        <w:pStyle w:val="Normal"/>
        <w:jc w:val="both"/>
        <w:rPr>
          <w:rFonts w:ascii="Arial" w:hAnsi="Arial"/>
          <w:b w:val="false"/>
          <w:b w:val="false"/>
          <w:bCs w:val="false"/>
          <w:sz w:val="20"/>
          <w:szCs w:val="20"/>
        </w:rPr>
      </w:pPr>
      <w:r>
        <w:rPr>
          <w:rFonts w:ascii="Arial" w:hAnsi="Arial"/>
          <w:b w:val="false"/>
          <w:bCs w:val="false"/>
          <w:sz w:val="20"/>
          <w:szCs w:val="20"/>
        </w:rPr>
      </w:r>
    </w:p>
    <w:p>
      <w:pPr>
        <w:pStyle w:val="Normal"/>
        <w:jc w:val="both"/>
        <w:rPr>
          <w:rFonts w:ascii="Arial" w:hAnsi="Arial"/>
          <w:b w:val="false"/>
          <w:b w:val="false"/>
          <w:bCs w:val="false"/>
          <w:sz w:val="20"/>
          <w:szCs w:val="20"/>
        </w:rPr>
      </w:pPr>
      <w:r>
        <w:rPr>
          <w:rFonts w:ascii="Arial" w:hAnsi="Arial"/>
          <w:b w:val="false"/>
          <w:bCs w:val="false"/>
          <w:sz w:val="20"/>
          <w:szCs w:val="20"/>
        </w:rPr>
        <w:t xml:space="preserve">D’autres pays se sont laissé séduire par le concept, le dernier en date étant l’Allemagne, qui a annoncé la formalisation de son ambassade à </w:t>
      </w:r>
      <w:r>
        <w:rPr>
          <w:rFonts w:ascii="Arial" w:hAnsi="Arial"/>
          <w:b w:val="false"/>
          <w:bCs w:val="false"/>
          <w:sz w:val="20"/>
          <w:szCs w:val="20"/>
        </w:rPr>
        <w:t>l'</w:t>
      </w:r>
      <w:r>
        <w:rPr>
          <w:rFonts w:ascii="Arial" w:hAnsi="Arial"/>
          <w:b w:val="false"/>
          <w:bCs w:val="false"/>
          <w:sz w:val="20"/>
          <w:szCs w:val="20"/>
        </w:rPr>
        <w:t xml:space="preserve">horizon 2016, à l’occasion de la prochaine édition de Velocity qui se déroulera à Taipei. La Grande-Bretagne l’a précédée en lançant la Cycling Embassy of Great-Britain, même si le pays accuse une part modale aussi faible que celle relevée en France.  </w:t>
      </w:r>
    </w:p>
    <w:p>
      <w:pPr>
        <w:pStyle w:val="Normal"/>
        <w:jc w:val="both"/>
        <w:rPr>
          <w:rFonts w:ascii="Arial" w:hAnsi="Arial"/>
          <w:b w:val="false"/>
          <w:b w:val="false"/>
          <w:bCs w:val="false"/>
          <w:sz w:val="20"/>
          <w:szCs w:val="20"/>
        </w:rPr>
      </w:pPr>
      <w:r>
        <w:rPr>
          <w:rFonts w:ascii="Arial" w:hAnsi="Arial"/>
          <w:b w:val="false"/>
          <w:bCs w:val="false"/>
          <w:sz w:val="20"/>
          <w:szCs w:val="20"/>
        </w:rPr>
      </w:r>
    </w:p>
    <w:p>
      <w:pPr>
        <w:pStyle w:val="Normal"/>
        <w:jc w:val="both"/>
        <w:rPr>
          <w:rFonts w:ascii="Arial" w:hAnsi="Arial"/>
          <w:b w:val="false"/>
          <w:b w:val="false"/>
          <w:bCs w:val="false"/>
          <w:sz w:val="20"/>
          <w:szCs w:val="20"/>
        </w:rPr>
      </w:pPr>
      <w:r>
        <w:rPr>
          <w:rFonts w:ascii="Arial" w:hAnsi="Arial"/>
          <w:b w:val="false"/>
          <w:bCs w:val="false"/>
          <w:sz w:val="20"/>
          <w:szCs w:val="20"/>
        </w:rPr>
        <w:t xml:space="preserve">Ceci pour couper court </w:t>
      </w:r>
      <w:r>
        <w:rPr>
          <w:rFonts w:ascii="Arial" w:hAnsi="Arial"/>
          <w:b w:val="false"/>
          <w:bCs w:val="false"/>
          <w:sz w:val="20"/>
          <w:szCs w:val="20"/>
        </w:rPr>
        <w:t>aux</w:t>
      </w:r>
      <w:r>
        <w:rPr>
          <w:rFonts w:ascii="Arial" w:hAnsi="Arial"/>
          <w:b w:val="false"/>
          <w:bCs w:val="false"/>
          <w:sz w:val="20"/>
          <w:szCs w:val="20"/>
        </w:rPr>
        <w:t xml:space="preserve"> critiques qui pourraient émerger à l’idée d’initier une telle démarche en France, l’opération ayant pour objectif de regrouper tous les acteurs concernés pour favoriser les échanges, entre eux et avec les « ambassadeurs » des autres pays. </w:t>
      </w:r>
    </w:p>
    <w:p>
      <w:pPr>
        <w:pStyle w:val="Normal"/>
        <w:jc w:val="both"/>
        <w:rPr>
          <w:rFonts w:ascii="Arial" w:hAnsi="Arial"/>
          <w:b w:val="false"/>
          <w:b w:val="false"/>
          <w:bCs w:val="false"/>
          <w:sz w:val="20"/>
          <w:szCs w:val="20"/>
        </w:rPr>
      </w:pPr>
      <w:r>
        <w:rPr>
          <w:rFonts w:ascii="Arial" w:hAnsi="Arial"/>
          <w:b w:val="false"/>
          <w:bCs w:val="false"/>
          <w:sz w:val="20"/>
          <w:szCs w:val="20"/>
        </w:rPr>
      </w:r>
    </w:p>
    <w:p>
      <w:pPr>
        <w:pStyle w:val="Normal"/>
        <w:jc w:val="both"/>
        <w:rPr>
          <w:rFonts w:ascii="Arial" w:hAnsi="Arial"/>
          <w:b w:val="false"/>
          <w:b w:val="false"/>
          <w:bCs w:val="false"/>
          <w:sz w:val="20"/>
          <w:szCs w:val="20"/>
        </w:rPr>
      </w:pPr>
      <w:r>
        <w:rPr>
          <w:rFonts w:ascii="Arial" w:hAnsi="Arial"/>
          <w:b w:val="false"/>
          <w:bCs w:val="false"/>
          <w:sz w:val="20"/>
          <w:szCs w:val="20"/>
        </w:rPr>
      </w:r>
    </w:p>
    <w:p>
      <w:pPr>
        <w:pStyle w:val="Normal"/>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r>
    </w:p>
    <w:p>
      <w:pPr>
        <w:pStyle w:val="Normal"/>
        <w:jc w:val="both"/>
        <w:rPr>
          <w:rFonts w:ascii="Calibri" w:hAnsi="Calibri"/>
          <w:i/>
          <w:i/>
        </w:rPr>
      </w:pPr>
      <w:r>
        <w:rPr>
          <w:rFonts w:ascii="Arial" w:hAnsi="Arial"/>
          <w:b w:val="false"/>
          <w:bCs w:val="false"/>
          <w:i w:val="false"/>
          <w:iCs w:val="false"/>
          <w:color w:val="FF0000"/>
          <w:sz w:val="20"/>
          <w:szCs w:val="20"/>
        </w:rPr>
        <w:t xml:space="preserve">Photo </w:t>
      </w:r>
      <w:r>
        <w:rPr>
          <w:rFonts w:cs="Calibri Bold Italic" w:ascii="Arial" w:hAnsi="Arial"/>
          <w:b w:val="false"/>
          <w:bCs w:val="false"/>
          <w:i w:val="false"/>
          <w:iCs w:val="false"/>
          <w:color w:val="FF0000"/>
          <w:sz w:val="20"/>
          <w:szCs w:val="20"/>
        </w:rPr>
        <w:t>velocity2015.jpg</w:t>
      </w:r>
    </w:p>
    <w:p>
      <w:pPr>
        <w:pStyle w:val="Normal"/>
        <w:jc w:val="both"/>
        <w:rPr>
          <w:rFonts w:ascii="Arial" w:hAnsi="Arial"/>
          <w:b w:val="false"/>
          <w:b w:val="false"/>
          <w:bCs w:val="false"/>
          <w:i w:val="false"/>
          <w:i w:val="false"/>
          <w:iCs w:val="false"/>
          <w:color w:val="FF0000"/>
          <w:sz w:val="20"/>
          <w:szCs w:val="20"/>
        </w:rPr>
      </w:pPr>
      <w:r>
        <w:rPr>
          <w:rFonts w:ascii="Arial" w:hAnsi="Arial"/>
          <w:b w:val="false"/>
          <w:bCs w:val="false"/>
          <w:i w:val="false"/>
          <w:iCs w:val="false"/>
          <w:color w:val="FF0000"/>
          <w:sz w:val="20"/>
          <w:szCs w:val="20"/>
        </w:rPr>
        <w:t>Légende : Personnage Lego® sur son vélo rouge offert par l'ambassade danoise en échange de la publication d’une photo sur les réseaux sociaux</w:t>
      </w:r>
    </w:p>
    <w:p>
      <w:pPr>
        <w:pStyle w:val="Normal"/>
        <w:jc w:val="both"/>
        <w:rPr>
          <w:rFonts w:ascii="Calibri" w:hAnsi="Calibri"/>
        </w:rPr>
      </w:pPr>
      <w:r>
        <w:rPr>
          <w:rFonts w:ascii="Arial" w:hAnsi="Arial"/>
          <w:b w:val="false"/>
          <w:bCs w:val="false"/>
          <w:i w:val="false"/>
          <w:iCs w:val="false"/>
          <w:sz w:val="20"/>
          <w:szCs w:val="20"/>
        </w:rPr>
      </w:r>
    </w:p>
    <w:p>
      <w:pPr>
        <w:pStyle w:val="Normal"/>
        <w:jc w:val="both"/>
        <w:rPr>
          <w:rFonts w:ascii="Arial" w:hAnsi="Arial"/>
          <w:b w:val="false"/>
          <w:b w:val="false"/>
          <w:bCs w:val="false"/>
          <w:i w:val="false"/>
          <w:i w:val="false"/>
          <w:iCs w:val="false"/>
          <w:color w:val="FF0000"/>
          <w:sz w:val="20"/>
          <w:szCs w:val="20"/>
        </w:rPr>
      </w:pPr>
      <w:r>
        <w:rPr>
          <w:rFonts w:ascii="Calibri" w:hAnsi="Calibri"/>
          <w:b w:val="false"/>
          <w:bCs w:val="false"/>
          <w:i w:val="false"/>
          <w:iCs w:val="false"/>
          <w:color w:val="FF0000"/>
          <w:sz w:val="20"/>
          <w:szCs w:val="20"/>
        </w:rPr>
        <w:t>[signature]</w:t>
      </w:r>
    </w:p>
    <w:p>
      <w:pPr>
        <w:pStyle w:val="Normal"/>
        <w:jc w:val="both"/>
        <w:rPr>
          <w:rFonts w:ascii="Arial" w:hAnsi="Arial"/>
          <w:b w:val="false"/>
          <w:b w:val="false"/>
          <w:bCs w:val="false"/>
          <w:color w:val="FF0000"/>
          <w:sz w:val="20"/>
          <w:szCs w:val="20"/>
        </w:rPr>
      </w:pPr>
      <w:r>
        <w:rPr>
          <w:rFonts w:ascii="Arial" w:hAnsi="Arial"/>
          <w:b w:val="false"/>
          <w:bCs w:val="false"/>
          <w:color w:val="FF0000"/>
          <w:sz w:val="20"/>
          <w:szCs w:val="20"/>
        </w:rPr>
      </w:r>
    </w:p>
    <w:p>
      <w:pPr>
        <w:pStyle w:val="Normal"/>
        <w:jc w:val="both"/>
        <w:rPr>
          <w:rFonts w:ascii="Arial" w:hAnsi="Arial"/>
          <w:b w:val="false"/>
          <w:b w:val="false"/>
          <w:bCs w:val="false"/>
          <w:sz w:val="20"/>
          <w:szCs w:val="20"/>
        </w:rPr>
      </w:pPr>
      <w:r>
        <w:rPr>
          <w:rFonts w:ascii="Arial" w:hAnsi="Arial"/>
          <w:b w:val="false"/>
          <w:bCs w:val="false"/>
          <w:sz w:val="20"/>
          <w:szCs w:val="20"/>
        </w:rPr>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1"/>
    <w:family w:val="swiss"/>
    <w:pitch w:val="default"/>
  </w:font>
  <w:font w:name="Verdana">
    <w:charset w:val="01"/>
    <w:family w:val="swiss"/>
    <w:pitch w:val="default"/>
  </w:font>
  <w:font w:name="Arial">
    <w:charset w:val="01"/>
    <w:family w:val="swiss"/>
    <w:pitch w:val="variable"/>
  </w:font>
  <w:font w:name="Calibri">
    <w:charset w:val="01"/>
    <w:family w:val="swiss"/>
    <w:pitch w:val="default"/>
  </w:font>
</w:fonts>
</file>

<file path=word/settings.xml><?xml version="1.0" encoding="utf-8"?>
<w:settings xmlns:w="http://schemas.openxmlformats.org/wordprocessingml/2006/main">
  <w:zoom w:percent="125"/>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fr-FR" w:eastAsia="fr-FR"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pPr>
    <w:rPr>
      <w:rFonts w:ascii="Cambria" w:hAnsi="Cambria" w:eastAsia="ＭＳ 明朝" w:cs="" w:asciiTheme="minorHAnsi" w:cstheme="minorBidi" w:eastAsiaTheme="minorEastAsia" w:hAnsiTheme="minorHAnsi"/>
      <w:color w:val="auto"/>
      <w:sz w:val="24"/>
      <w:szCs w:val="24"/>
      <w:lang w:val="fr-FR" w:eastAsia="fr-FR" w:bidi="ar-SA"/>
    </w:rPr>
  </w:style>
  <w:style w:type="paragraph" w:styleId="Titre1">
    <w:name w:val="Titre 1"/>
    <w:basedOn w:val="Titre"/>
    <w:pPr/>
    <w:rPr/>
  </w:style>
  <w:style w:type="paragraph" w:styleId="Titre2">
    <w:name w:val="Titre 2"/>
    <w:basedOn w:val="Titre"/>
    <w:pPr/>
    <w:rPr/>
  </w:style>
  <w:style w:type="paragraph" w:styleId="Titre3">
    <w:name w:val="Titre 3"/>
    <w:basedOn w:val="Titre"/>
    <w:pPr/>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spacing w:before="240" w:after="120"/>
    </w:pPr>
    <w:rPr>
      <w:rFonts w:ascii="Verdana" w:hAnsi="Verdana"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ascii="Verdana" w:hAnsi="Verdana" w:cs="Mangal"/>
      <w:sz w:val="24"/>
    </w:rPr>
  </w:style>
  <w:style w:type="paragraph" w:styleId="Lgende">
    <w:name w:val="Légende"/>
    <w:basedOn w:val="Normal"/>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paragraph" w:styleId="Quotations">
    <w:name w:val="Quotations"/>
    <w:basedOn w:val="Normal"/>
    <w:qFormat/>
    <w:pPr/>
    <w:rPr/>
  </w:style>
  <w:style w:type="paragraph" w:styleId="Titreprincipal">
    <w:name w:val="Titre principal"/>
    <w:basedOn w:val="Titre"/>
    <w:pPr/>
    <w:rPr/>
  </w:style>
  <w:style w:type="paragraph" w:styleId="Soustitre">
    <w:name w:val="Sous-titre"/>
    <w:basedOn w:val="Titre"/>
    <w:pPr/>
    <w:rPr/>
  </w:style>
  <w:style w:type="numbering" w:styleId="NoList" w:default="1">
    <w:name w:val="No List"/>
    <w:uiPriority w:val="99"/>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LibreOffice/4.4.5.2$Windows_x86 LibreOffice_project/a22f674fd25a3b6f45bdebf25400ed2adff0ff99</Application>
  <Paragraphs>11</Paragraphs>
  <Company>Droit au vélo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2015-08-22T10:55:00Z</dcterms:created>
  <dc:creator>ADAV Droit au vélo</dc:creator>
  <dc:language>fr-FR</dc:language>
  <dcterms:modified xsi:type="dcterms:W3CDTF">2015-09-03T02:30:11Z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Droit au vélo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