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jc w:val="left"/>
        <w:rPr>
          <w:rFonts w:ascii="Calibri" w:hAnsi="Calibri"/>
        </w:rPr>
      </w:pPr>
      <w:r>
        <w:rPr>
          <w:rFonts w:ascii="Calibri" w:hAnsi="Calibri"/>
        </w:rPr>
        <w:t>Les adhérents de Droit au vélo en 2013</w:t>
      </w:r>
    </w:p>
    <w:p>
      <w:pPr>
        <w:sectPr>
          <w:type w:val="nextPage"/>
          <w:pgSz w:h="16838" w:w="11906"/>
          <w:pgMar w:bottom="1417" w:footer="0" w:gutter="0" w:header="0" w:left="1417" w:right="1417" w:top="1417"/>
          <w:pgNumType w:fmt="decimal"/>
          <w:formProt w:val="false"/>
          <w:textDirection w:val="lrTb"/>
          <w:docGrid w:charSpace="8192" w:linePitch="360" w:type="default"/>
        </w:sectPr>
      </w:pPr>
    </w:p>
    <w:p>
      <w:pPr>
        <w:pStyle w:val="style0"/>
        <w:spacing w:line="276" w:lineRule="auto"/>
        <w:rPr/>
      </w:pPr>
      <w:r>
        <w:rPr/>
        <w:t>1 703 adhérents dont 84,3% domiciliés dans le Nord, 14,4% dans le Pas-de-Calais, 0,9% dans d’autres départements et 0,3% en Belgique.</w:t>
      </w:r>
    </w:p>
    <w:p>
      <w:pPr>
        <w:pStyle w:val="style0"/>
        <w:spacing w:line="276" w:lineRule="auto"/>
        <w:rPr/>
      </w:pPr>
      <w:r>
        <w:rPr/>
        <w:t>Chiffre en baisse, pour la première fois, par rapport à l’année précédente.</w:t>
      </w:r>
    </w:p>
    <w:p>
      <w:pPr>
        <w:pStyle w:val="style0"/>
        <w:spacing w:line="276" w:lineRule="auto"/>
        <w:rPr/>
      </w:pPr>
      <w:r>
        <w:rPr/>
        <w:t xml:space="preserve">Dans la région, les adhérents sont concentrés dans la Communauté urbaine de Lille : 73,0% résident dans la zone de Lille et 4,8% dans celle de Roubaix-Tourcoing. </w:t>
      </w:r>
    </w:p>
    <w:p>
      <w:pPr>
        <w:pStyle w:val="style0"/>
        <w:spacing w:line="276" w:lineRule="auto"/>
        <w:rPr/>
      </w:pPr>
      <w:r>
        <w:rPr/>
        <w:t>Les zones rurales n’ont pas (Saint-Omer, Montreuil) ou peu (Cambrésis, Sambre – Avesnois …) d’adhérents.</w:t>
      </w:r>
    </w:p>
    <w:p>
      <w:pPr>
        <w:pStyle w:val="style0"/>
        <w:spacing w:line="276" w:lineRule="auto"/>
        <w:rPr/>
      </w:pPr>
      <w:r>
        <w:rPr/>
        <w:t>Les villes qui comptent le plus grand nombre d’adhérents sont souvent  situées à proximité de Lille. La capitale régionale, à elle seule, compte 689 adhérents (dont 66 à Hellemmes et 30 à Lomme), soit  41% des adhérents de la région.</w:t>
      </w:r>
    </w:p>
    <w:p>
      <w:pPr>
        <w:pStyle w:val="style0"/>
        <w:spacing w:line="276" w:lineRule="auto"/>
        <w:rPr/>
      </w:pPr>
      <w:r>
        <w:rPr/>
        <w:t>Lambersart, occupe le second rang en nombre (134) et le 1</w:t>
      </w:r>
      <w:r>
        <w:rPr>
          <w:vertAlign w:val="superscript"/>
        </w:rPr>
        <w:t>er</w:t>
      </w:r>
      <w:r>
        <w:rPr/>
        <w:t xml:space="preserve"> rang en taux pour 100 000 habitants (473), comme les années précédentes.</w:t>
      </w:r>
    </w:p>
    <w:p>
      <w:pPr>
        <w:pStyle w:val="style0"/>
        <w:spacing w:line="276" w:lineRule="auto"/>
        <w:rPr/>
      </w:pPr>
      <w:r>
        <w:rPr/>
        <w:t>Arras occupe le 3</w:t>
      </w:r>
      <w:r>
        <w:rPr>
          <w:vertAlign w:val="superscript"/>
        </w:rPr>
        <w:t>e</w:t>
      </w:r>
      <w:r>
        <w:rPr/>
        <w:t xml:space="preserve"> rang ; avec Saint-Laurent-Blangy qui lui est proche, ces communes du Pas-de-Calais connaissent de hauts taux (285 et 374 pour 100 000 habitants, soit respectivement les 4</w:t>
      </w:r>
      <w:r>
        <w:rPr>
          <w:vertAlign w:val="superscript"/>
        </w:rPr>
        <w:t>e</w:t>
      </w:r>
      <w:r>
        <w:rPr/>
        <w:t xml:space="preserve"> et 2</w:t>
      </w:r>
      <w:r>
        <w:rPr>
          <w:vertAlign w:val="superscript"/>
        </w:rPr>
        <w:t>e</w:t>
      </w:r>
      <w:r>
        <w:rPr/>
        <w:t xml:space="preserve"> rangs).</w:t>
      </w:r>
    </w:p>
    <w:p>
      <w:pPr>
        <w:pStyle w:val="style0"/>
        <w:spacing w:line="276" w:lineRule="auto"/>
        <w:rPr/>
      </w:pPr>
      <w:r>
        <w:rPr/>
        <w:t>Alors que d’autres grandes villes (Béthune, Dunkerque, Roubaix,  Tourcoing, Valenciennes) figurent au « palmarès », bon nombre de sous-préfectures n’y figurent pas, voire n’ont aucun adhérent (cf. carte au verso). Le cas particulier de Douai doit être souligné : l’association Droit d’vélo, membre de l’Adav, enregistre elle-même ses adhérents.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Laurent Plancke</w:t>
      </w:r>
    </w:p>
    <w:p>
      <w:pPr>
        <w:pStyle w:val="style0"/>
        <w:rPr/>
      </w:pPr>
      <w:r>
        <w:rPr/>
        <w:t>Mars 2014</w:t>
      </w:r>
    </w:p>
    <w:p>
      <w:pPr>
        <w:pStyle w:val="style25"/>
        <w:rPr/>
      </w:pPr>
      <w:r>
        <w:br w:type="column"/>
      </w:r>
      <w:r>
        <w:rPr/>
        <w:t xml:space="preserve">Table </w:t>
      </w:r>
      <w:r>
        <w:rPr/>
        <w:fldChar w:fldCharType="begin"/>
      </w:r>
      <w:r>
        <w:instrText> SEQ ""Tableau"" \*Arabic </w:instrText>
      </w:r>
      <w:r>
        <w:fldChar w:fldCharType="separate"/>
      </w:r>
      <w:r>
        <w:t>1</w:t>
      </w:r>
      <w:r>
        <w:fldChar w:fldCharType="end"/>
      </w:r>
      <w:r>
        <w:rPr/>
        <w:t>. Nombre d’adhérents par zone géographique et taux pour 100 000 habitants.</w:t>
      </w:r>
    </w:p>
    <w:tbl>
      <w:tblPr>
        <w:jc w:val="left"/>
        <w:tblInd w:type="dxa" w:w="0"/>
        <w:tblBorders>
          <w:top w:color="00000A" w:space="0" w:sz="4" w:val="single"/>
          <w:left w:val="nil"/>
          <w:bottom w:color="00000A" w:space="0" w:sz="4" w:val="single"/>
          <w:insideH w:color="00000A" w:space="0" w:sz="4" w:val="single"/>
          <w:right w:val="nil"/>
          <w:insideV w:val="nil"/>
        </w:tblBorders>
        <w:tblCellMar>
          <w:top w:type="dxa" w:w="0"/>
          <w:left w:type="dxa" w:w="70"/>
          <w:bottom w:type="dxa" w:w="0"/>
          <w:right w:type="dxa" w:w="70"/>
        </w:tblCellMar>
      </w:tblPr>
      <w:tblGrid>
        <w:gridCol w:w="1621"/>
        <w:gridCol w:w="947"/>
        <w:gridCol w:w="825"/>
        <w:gridCol w:w="712"/>
      </w:tblGrid>
      <w:tr>
        <w:trPr>
          <w:trHeight w:hRule="atLeast" w:val="227"/>
          <w:cantSplit w:val="false"/>
        </w:trPr>
        <w:tc>
          <w:tcPr>
            <w:tcW w:type="dxa" w:w="1621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Zone</w:t>
            </w:r>
          </w:p>
        </w:tc>
        <w:tc>
          <w:tcPr>
            <w:tcW w:type="dxa" w:w="947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Adhérents</w:t>
            </w:r>
          </w:p>
        </w:tc>
        <w:tc>
          <w:tcPr>
            <w:tcW w:type="dxa" w:w="825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%</w:t>
            </w:r>
          </w:p>
        </w:tc>
        <w:tc>
          <w:tcPr>
            <w:tcW w:type="dxa" w:w="712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Taux*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Arrageois</w:t>
            </w:r>
          </w:p>
        </w:tc>
        <w:tc>
          <w:tcPr>
            <w:tcW w:type="dxa" w:w="94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192 </w:t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11,4%</w:t>
            </w:r>
          </w:p>
        </w:tc>
        <w:tc>
          <w:tcPr>
            <w:tcW w:type="dxa" w:w="71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79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Audomarois</w:t>
            </w:r>
          </w:p>
        </w:tc>
        <w:tc>
          <w:tcPr>
            <w:tcW w:type="dxa" w:w="94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0,0%</w:t>
            </w:r>
          </w:p>
        </w:tc>
        <w:tc>
          <w:tcPr>
            <w:tcW w:type="dxa" w:w="71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-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Béthune - Bruay</w:t>
            </w:r>
          </w:p>
        </w:tc>
        <w:tc>
          <w:tcPr>
            <w:tcW w:type="dxa" w:w="94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35 </w:t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2,1%</w:t>
            </w:r>
          </w:p>
        </w:tc>
        <w:tc>
          <w:tcPr>
            <w:tcW w:type="dxa" w:w="71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12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Boulonnais</w:t>
            </w:r>
          </w:p>
        </w:tc>
        <w:tc>
          <w:tcPr>
            <w:tcW w:type="dxa" w:w="94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3 </w:t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0,2%</w:t>
            </w:r>
          </w:p>
        </w:tc>
        <w:tc>
          <w:tcPr>
            <w:tcW w:type="dxa" w:w="71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Calaisis</w:t>
            </w:r>
          </w:p>
        </w:tc>
        <w:tc>
          <w:tcPr>
            <w:tcW w:type="dxa" w:w="94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5 </w:t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0,3%</w:t>
            </w:r>
          </w:p>
        </w:tc>
        <w:tc>
          <w:tcPr>
            <w:tcW w:type="dxa" w:w="71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3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Cambrésis</w:t>
            </w:r>
          </w:p>
        </w:tc>
        <w:tc>
          <w:tcPr>
            <w:tcW w:type="dxa" w:w="94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 </w:t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0,1%</w:t>
            </w:r>
          </w:p>
        </w:tc>
        <w:tc>
          <w:tcPr>
            <w:tcW w:type="dxa" w:w="71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Douaisis**</w:t>
            </w:r>
          </w:p>
        </w:tc>
        <w:tc>
          <w:tcPr>
            <w:tcW w:type="dxa" w:w="94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8 </w:t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0,5%</w:t>
            </w:r>
          </w:p>
        </w:tc>
        <w:tc>
          <w:tcPr>
            <w:tcW w:type="dxa" w:w="71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3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Dunkerquois</w:t>
            </w:r>
          </w:p>
        </w:tc>
        <w:tc>
          <w:tcPr>
            <w:tcW w:type="dxa" w:w="94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27 </w:t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1,6%</w:t>
            </w:r>
          </w:p>
        </w:tc>
        <w:tc>
          <w:tcPr>
            <w:tcW w:type="dxa" w:w="71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11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Flandre intérieure</w:t>
            </w:r>
          </w:p>
        </w:tc>
        <w:tc>
          <w:tcPr>
            <w:tcW w:type="dxa" w:w="94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41 </w:t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2,4%</w:t>
            </w:r>
          </w:p>
        </w:tc>
        <w:tc>
          <w:tcPr>
            <w:tcW w:type="dxa" w:w="71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23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Lens - Hénin</w:t>
            </w:r>
          </w:p>
        </w:tc>
        <w:tc>
          <w:tcPr>
            <w:tcW w:type="dxa" w:w="94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9 </w:t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0,5%</w:t>
            </w:r>
          </w:p>
        </w:tc>
        <w:tc>
          <w:tcPr>
            <w:tcW w:type="dxa" w:w="71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Lille</w:t>
            </w:r>
          </w:p>
        </w:tc>
        <w:tc>
          <w:tcPr>
            <w:tcW w:type="dxa" w:w="94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1 227 </w:t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73,0%</w:t>
            </w:r>
          </w:p>
        </w:tc>
        <w:tc>
          <w:tcPr>
            <w:tcW w:type="dxa" w:w="71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170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Montreuillois</w:t>
            </w:r>
          </w:p>
        </w:tc>
        <w:tc>
          <w:tcPr>
            <w:tcW w:type="dxa" w:w="94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0,0%</w:t>
            </w:r>
          </w:p>
        </w:tc>
        <w:tc>
          <w:tcPr>
            <w:tcW w:type="dxa" w:w="71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-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Roubaix - Tourcoing</w:t>
            </w:r>
          </w:p>
        </w:tc>
        <w:tc>
          <w:tcPr>
            <w:tcW w:type="dxa" w:w="94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81 </w:t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4,8%</w:t>
            </w:r>
          </w:p>
        </w:tc>
        <w:tc>
          <w:tcPr>
            <w:tcW w:type="dxa" w:w="71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19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Sambre - Avesnois</w:t>
            </w:r>
          </w:p>
        </w:tc>
        <w:tc>
          <w:tcPr>
            <w:tcW w:type="dxa" w:w="94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5 </w:t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0,3%</w:t>
            </w:r>
          </w:p>
        </w:tc>
        <w:tc>
          <w:tcPr>
            <w:tcW w:type="dxa" w:w="71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62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Valenciennois</w:t>
            </w:r>
          </w:p>
        </w:tc>
        <w:tc>
          <w:tcPr>
            <w:tcW w:type="dxa" w:w="94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45 </w:t>
            </w:r>
          </w:p>
        </w:tc>
        <w:tc>
          <w:tcPr>
            <w:tcW w:type="dxa" w:w="82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2,7%</w:t>
            </w:r>
          </w:p>
        </w:tc>
        <w:tc>
          <w:tcPr>
            <w:tcW w:type="dxa" w:w="712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13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621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TOTAL REGION</w:t>
            </w:r>
          </w:p>
        </w:tc>
        <w:tc>
          <w:tcPr>
            <w:tcW w:type="dxa" w:w="947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1 680 </w:t>
            </w:r>
          </w:p>
        </w:tc>
        <w:tc>
          <w:tcPr>
            <w:tcW w:type="dxa" w:w="825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100,0%</w:t>
            </w:r>
          </w:p>
        </w:tc>
        <w:tc>
          <w:tcPr>
            <w:tcW w:type="dxa" w:w="712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spacing w:after="0" w:before="0"/>
              <w:ind w:hanging="0" w:left="0" w:right="113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42 </w:t>
            </w:r>
          </w:p>
        </w:tc>
      </w:tr>
    </w:tbl>
    <w:p>
      <w:pPr>
        <w:pStyle w:val="style0"/>
        <w:rPr>
          <w:sz w:val="16"/>
        </w:rPr>
      </w:pPr>
      <w:r>
        <w:rPr>
          <w:sz w:val="16"/>
        </w:rPr>
        <w:t>* Nombre d’habitants pour 100 000 habitants</w:t>
      </w:r>
    </w:p>
    <w:p>
      <w:pPr>
        <w:pStyle w:val="style0"/>
        <w:rPr>
          <w:sz w:val="16"/>
        </w:rPr>
      </w:pPr>
      <w:r>
        <w:rPr>
          <w:sz w:val="16"/>
        </w:rPr>
        <w:t>**Non comptés les adhérents de Droit d’vélo, association membre de l’Adav.</w:t>
      </w:r>
    </w:p>
    <w:p>
      <w:pPr>
        <w:pStyle w:val="style0"/>
        <w:rPr>
          <w:sz w:val="16"/>
        </w:rPr>
      </w:pPr>
      <w:r>
        <w:rPr>
          <w:sz w:val="16"/>
        </w:rPr>
      </w:r>
    </w:p>
    <w:p>
      <w:pPr>
        <w:pStyle w:val="style25"/>
        <w:keepNext/>
        <w:rPr/>
      </w:pPr>
      <w:r>
        <w:rPr/>
        <w:t xml:space="preserve">Table </w:t>
      </w:r>
      <w:r>
        <w:rPr/>
        <w:fldChar w:fldCharType="begin"/>
      </w:r>
      <w:r>
        <w:instrText> SEQ ""Tableau"" \*Arabic </w:instrText>
      </w:r>
      <w:r>
        <w:fldChar w:fldCharType="separate"/>
      </w:r>
      <w:r>
        <w:t>1</w:t>
      </w:r>
      <w:r>
        <w:fldChar w:fldCharType="end"/>
      </w:r>
      <w:r>
        <w:rPr/>
        <w:t>. 20 communes comptant le plus d’adhérents, taux pour 100 000 habitants et rang parmi 20.</w:t>
      </w:r>
    </w:p>
    <w:tbl>
      <w:tblPr>
        <w:jc w:val="left"/>
        <w:tblInd w:type="dxa" w:w="0"/>
        <w:tblBorders>
          <w:top w:color="00000A" w:space="0" w:sz="4" w:val="single"/>
          <w:left w:val="nil"/>
          <w:bottom w:color="00000A" w:space="0" w:sz="4" w:val="single"/>
          <w:insideH w:color="00000A" w:space="0" w:sz="4" w:val="single"/>
          <w:right w:val="nil"/>
          <w:insideV w:val="nil"/>
        </w:tblBorders>
        <w:tblCellMar>
          <w:top w:type="dxa" w:w="0"/>
          <w:left w:type="dxa" w:w="70"/>
          <w:bottom w:type="dxa" w:w="0"/>
          <w:right w:type="dxa" w:w="70"/>
        </w:tblCellMar>
      </w:tblPr>
      <w:tblGrid>
        <w:gridCol w:w="1538"/>
        <w:gridCol w:w="946"/>
        <w:gridCol w:w="796"/>
        <w:gridCol w:w="535"/>
        <w:gridCol w:w="677"/>
      </w:tblGrid>
      <w:tr>
        <w:trPr>
          <w:trHeight w:hRule="atLeast" w:val="315"/>
          <w:cantSplit w:val="false"/>
        </w:trPr>
        <w:tc>
          <w:tcPr>
            <w:tcW w:type="dxa" w:w="1538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Commune</w:t>
            </w:r>
          </w:p>
        </w:tc>
        <w:tc>
          <w:tcPr>
            <w:tcW w:type="dxa" w:w="946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Adhérents </w:t>
            </w:r>
          </w:p>
        </w:tc>
        <w:tc>
          <w:tcPr>
            <w:tcW w:type="dxa" w:w="796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Habitants</w:t>
            </w:r>
          </w:p>
        </w:tc>
        <w:tc>
          <w:tcPr>
            <w:tcW w:type="dxa" w:w="535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Taux*</w:t>
            </w:r>
          </w:p>
        </w:tc>
        <w:tc>
          <w:tcPr>
            <w:tcW w:type="dxa" w:w="677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Rang**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Lille</w:t>
            </w:r>
          </w:p>
        </w:tc>
        <w:tc>
          <w:tcPr>
            <w:tcW w:type="dxa" w:w="94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689 </w:t>
            </w:r>
          </w:p>
        </w:tc>
        <w:tc>
          <w:tcPr>
            <w:tcW w:type="dxa" w:w="79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226 827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304 </w:t>
            </w:r>
          </w:p>
        </w:tc>
        <w:tc>
          <w:tcPr>
            <w:tcW w:type="dxa" w:w="67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3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Lambersart</w:t>
            </w:r>
          </w:p>
        </w:tc>
        <w:tc>
          <w:tcPr>
            <w:tcW w:type="dxa" w:w="94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134 </w:t>
            </w:r>
          </w:p>
        </w:tc>
        <w:tc>
          <w:tcPr>
            <w:tcW w:type="dxa" w:w="79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28 310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473 </w:t>
            </w:r>
          </w:p>
        </w:tc>
        <w:tc>
          <w:tcPr>
            <w:tcW w:type="dxa" w:w="67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1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er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Arras</w:t>
            </w:r>
          </w:p>
        </w:tc>
        <w:tc>
          <w:tcPr>
            <w:tcW w:type="dxa" w:w="94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120 </w:t>
            </w:r>
          </w:p>
        </w:tc>
        <w:tc>
          <w:tcPr>
            <w:tcW w:type="dxa" w:w="79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42 049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285 </w:t>
            </w:r>
          </w:p>
        </w:tc>
        <w:tc>
          <w:tcPr>
            <w:tcW w:type="dxa" w:w="67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4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Villeneuve-d'Ascq</w:t>
            </w:r>
          </w:p>
        </w:tc>
        <w:tc>
          <w:tcPr>
            <w:tcW w:type="dxa" w:w="94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97 </w:t>
            </w:r>
          </w:p>
        </w:tc>
        <w:tc>
          <w:tcPr>
            <w:tcW w:type="dxa" w:w="79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63 844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152 </w:t>
            </w:r>
          </w:p>
        </w:tc>
        <w:tc>
          <w:tcPr>
            <w:tcW w:type="dxa" w:w="67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9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Marcq-en-Barœul</w:t>
            </w:r>
          </w:p>
        </w:tc>
        <w:tc>
          <w:tcPr>
            <w:tcW w:type="dxa" w:w="94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52 </w:t>
            </w:r>
          </w:p>
        </w:tc>
        <w:tc>
          <w:tcPr>
            <w:tcW w:type="dxa" w:w="79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38 819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134 </w:t>
            </w:r>
          </w:p>
        </w:tc>
        <w:tc>
          <w:tcPr>
            <w:tcW w:type="dxa" w:w="67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12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Ronchin</w:t>
            </w:r>
          </w:p>
        </w:tc>
        <w:tc>
          <w:tcPr>
            <w:tcW w:type="dxa" w:w="94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46 </w:t>
            </w:r>
          </w:p>
        </w:tc>
        <w:tc>
          <w:tcPr>
            <w:tcW w:type="dxa" w:w="79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18 256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252 </w:t>
            </w:r>
          </w:p>
        </w:tc>
        <w:tc>
          <w:tcPr>
            <w:tcW w:type="dxa" w:w="67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5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Mons-en-Barœul</w:t>
            </w:r>
          </w:p>
        </w:tc>
        <w:tc>
          <w:tcPr>
            <w:tcW w:type="dxa" w:w="94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40 </w:t>
            </w:r>
          </w:p>
        </w:tc>
        <w:tc>
          <w:tcPr>
            <w:tcW w:type="dxa" w:w="79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21 958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182 </w:t>
            </w:r>
          </w:p>
        </w:tc>
        <w:tc>
          <w:tcPr>
            <w:tcW w:type="dxa" w:w="67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7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La Madeleine</w:t>
            </w:r>
          </w:p>
        </w:tc>
        <w:tc>
          <w:tcPr>
            <w:tcW w:type="dxa" w:w="94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32 </w:t>
            </w:r>
          </w:p>
        </w:tc>
        <w:tc>
          <w:tcPr>
            <w:tcW w:type="dxa" w:w="79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22 174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144 </w:t>
            </w:r>
          </w:p>
        </w:tc>
        <w:tc>
          <w:tcPr>
            <w:tcW w:type="dxa" w:w="67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10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Loos</w:t>
            </w:r>
          </w:p>
        </w:tc>
        <w:tc>
          <w:tcPr>
            <w:tcW w:type="dxa" w:w="94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31 </w:t>
            </w:r>
          </w:p>
        </w:tc>
        <w:tc>
          <w:tcPr>
            <w:tcW w:type="dxa" w:w="79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21 739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143 </w:t>
            </w:r>
          </w:p>
        </w:tc>
        <w:tc>
          <w:tcPr>
            <w:tcW w:type="dxa" w:w="67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11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Faches-Thumesnil</w:t>
            </w:r>
          </w:p>
        </w:tc>
        <w:tc>
          <w:tcPr>
            <w:tcW w:type="dxa" w:w="94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29 </w:t>
            </w:r>
          </w:p>
        </w:tc>
        <w:tc>
          <w:tcPr>
            <w:tcW w:type="dxa" w:w="79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16 928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171 </w:t>
            </w:r>
          </w:p>
        </w:tc>
        <w:tc>
          <w:tcPr>
            <w:tcW w:type="dxa" w:w="67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8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Dunkerque</w:t>
            </w:r>
          </w:p>
        </w:tc>
        <w:tc>
          <w:tcPr>
            <w:tcW w:type="dxa" w:w="94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23 </w:t>
            </w:r>
          </w:p>
        </w:tc>
        <w:tc>
          <w:tcPr>
            <w:tcW w:type="dxa" w:w="79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92 923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25 </w:t>
            </w:r>
          </w:p>
        </w:tc>
        <w:tc>
          <w:tcPr>
            <w:tcW w:type="dxa" w:w="67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18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Saint-Laurent-Blangy</w:t>
            </w:r>
          </w:p>
        </w:tc>
        <w:tc>
          <w:tcPr>
            <w:tcW w:type="dxa" w:w="94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22 </w:t>
            </w:r>
          </w:p>
        </w:tc>
        <w:tc>
          <w:tcPr>
            <w:tcW w:type="dxa" w:w="79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5 877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374 </w:t>
            </w:r>
          </w:p>
        </w:tc>
        <w:tc>
          <w:tcPr>
            <w:tcW w:type="dxa" w:w="67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Béthune</w:t>
            </w:r>
          </w:p>
        </w:tc>
        <w:tc>
          <w:tcPr>
            <w:tcW w:type="dxa" w:w="94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21 </w:t>
            </w:r>
          </w:p>
        </w:tc>
        <w:tc>
          <w:tcPr>
            <w:tcW w:type="dxa" w:w="79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25 766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82 </w:t>
            </w:r>
          </w:p>
        </w:tc>
        <w:tc>
          <w:tcPr>
            <w:tcW w:type="dxa" w:w="67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14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Tourcoing</w:t>
            </w:r>
          </w:p>
        </w:tc>
        <w:tc>
          <w:tcPr>
            <w:tcW w:type="dxa" w:w="94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19 </w:t>
            </w:r>
          </w:p>
        </w:tc>
        <w:tc>
          <w:tcPr>
            <w:tcW w:type="dxa" w:w="79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92 389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21 </w:t>
            </w:r>
          </w:p>
        </w:tc>
        <w:tc>
          <w:tcPr>
            <w:tcW w:type="dxa" w:w="67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19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Achicourt</w:t>
            </w:r>
          </w:p>
        </w:tc>
        <w:tc>
          <w:tcPr>
            <w:tcW w:type="dxa" w:w="94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19 </w:t>
            </w:r>
          </w:p>
        </w:tc>
        <w:tc>
          <w:tcPr>
            <w:tcW w:type="dxa" w:w="79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7 727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246 </w:t>
            </w:r>
          </w:p>
        </w:tc>
        <w:tc>
          <w:tcPr>
            <w:tcW w:type="dxa" w:w="67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6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Valenciennes</w:t>
            </w:r>
          </w:p>
        </w:tc>
        <w:tc>
          <w:tcPr>
            <w:tcW w:type="dxa" w:w="94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18 </w:t>
            </w:r>
          </w:p>
        </w:tc>
        <w:tc>
          <w:tcPr>
            <w:tcW w:type="dxa" w:w="79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42 649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42 </w:t>
            </w:r>
          </w:p>
        </w:tc>
        <w:tc>
          <w:tcPr>
            <w:tcW w:type="dxa" w:w="67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17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Roubaix</w:t>
            </w:r>
          </w:p>
        </w:tc>
        <w:tc>
          <w:tcPr>
            <w:tcW w:type="dxa" w:w="94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17 </w:t>
            </w:r>
          </w:p>
        </w:tc>
        <w:tc>
          <w:tcPr>
            <w:tcW w:type="dxa" w:w="79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95 028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18 </w:t>
            </w:r>
          </w:p>
        </w:tc>
        <w:tc>
          <w:tcPr>
            <w:tcW w:type="dxa" w:w="67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20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Hazebrouck</w:t>
            </w:r>
          </w:p>
        </w:tc>
        <w:tc>
          <w:tcPr>
            <w:tcW w:type="dxa" w:w="94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14 </w:t>
            </w:r>
          </w:p>
        </w:tc>
        <w:tc>
          <w:tcPr>
            <w:tcW w:type="dxa" w:w="79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21 721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64 </w:t>
            </w:r>
          </w:p>
        </w:tc>
        <w:tc>
          <w:tcPr>
            <w:tcW w:type="dxa" w:w="67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15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8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Saint-André-Lez-Lille</w:t>
            </w:r>
          </w:p>
        </w:tc>
        <w:tc>
          <w:tcPr>
            <w:tcW w:type="dxa" w:w="94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12 </w:t>
            </w:r>
          </w:p>
        </w:tc>
        <w:tc>
          <w:tcPr>
            <w:tcW w:type="dxa" w:w="796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10 834 </w:t>
            </w:r>
          </w:p>
        </w:tc>
        <w:tc>
          <w:tcPr>
            <w:tcW w:type="dxa" w:w="535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111 </w:t>
            </w:r>
          </w:p>
        </w:tc>
        <w:tc>
          <w:tcPr>
            <w:tcW w:type="dxa" w:w="677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13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227"/>
          <w:cantSplit w:val="false"/>
        </w:trPr>
        <w:tc>
          <w:tcPr>
            <w:tcW w:type="dxa" w:w="1538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Mouvaux</w:t>
            </w:r>
          </w:p>
        </w:tc>
        <w:tc>
          <w:tcPr>
            <w:tcW w:type="dxa" w:w="946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8 </w:t>
            </w:r>
          </w:p>
        </w:tc>
        <w:tc>
          <w:tcPr>
            <w:tcW w:type="dxa" w:w="796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13 242 </w:t>
            </w:r>
          </w:p>
        </w:tc>
        <w:tc>
          <w:tcPr>
            <w:tcW w:type="dxa" w:w="535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 xml:space="preserve">60 </w:t>
            </w:r>
          </w:p>
        </w:tc>
        <w:tc>
          <w:tcPr>
            <w:tcW w:type="dxa" w:w="677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16</w:t>
            </w:r>
            <w:r>
              <w:rPr>
                <w:rFonts w:cs="Times New Roman" w:eastAsia="Times New Roman"/>
                <w:color w:val="000000"/>
                <w:sz w:val="16"/>
                <w:szCs w:val="16"/>
                <w:vertAlign w:val="superscript"/>
                <w:lang w:eastAsia="fr-FR"/>
              </w:rPr>
              <w:t>e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538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lef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Autres communes</w:t>
              <w:tab/>
              <w:t xml:space="preserve">   </w:t>
            </w:r>
          </w:p>
        </w:tc>
        <w:tc>
          <w:tcPr>
            <w:tcW w:type="dxa" w:w="946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238</w:t>
            </w:r>
          </w:p>
        </w:tc>
        <w:tc>
          <w:tcPr>
            <w:tcW w:type="dxa" w:w="796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type="dxa" w:w="535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type="dxa" w:w="677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538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60" w:before="0"/>
              <w:contextualSpacing w:val="false"/>
              <w:jc w:val="left"/>
              <w:rPr>
                <w:sz w:val="16"/>
              </w:rPr>
            </w:pPr>
            <w:r>
              <w:rPr>
                <w:sz w:val="16"/>
              </w:rPr>
              <w:t>TOTAL REGION</w:t>
            </w:r>
          </w:p>
        </w:tc>
        <w:tc>
          <w:tcPr>
            <w:tcW w:type="dxa" w:w="946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  <w:t>1 680</w:t>
            </w:r>
          </w:p>
        </w:tc>
        <w:tc>
          <w:tcPr>
            <w:tcW w:type="dxa" w:w="796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type="dxa" w:w="535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r>
          </w:p>
        </w:tc>
        <w:tc>
          <w:tcPr>
            <w:tcW w:type="dxa" w:w="677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  <w:vAlign w:val="center"/>
          </w:tcPr>
          <w:p>
            <w:pPr>
              <w:pStyle w:val="style0"/>
              <w:keepNext/>
              <w:spacing w:after="0" w:before="0"/>
              <w:contextualSpacing w:val="false"/>
              <w:jc w:val="right"/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cs="Times New Roman" w:eastAsia="Times New Roman"/>
                <w:color w:val="000000"/>
                <w:sz w:val="16"/>
                <w:szCs w:val="16"/>
                <w:lang w:eastAsia="fr-FR"/>
              </w:rPr>
            </w:r>
          </w:p>
        </w:tc>
      </w:tr>
    </w:tbl>
    <w:p>
      <w:pPr>
        <w:pStyle w:val="style0"/>
        <w:keepNext/>
        <w:rPr>
          <w:sz w:val="16"/>
        </w:rPr>
      </w:pPr>
      <w:r>
        <w:rPr>
          <w:sz w:val="16"/>
        </w:rPr>
        <w:t>* Nombre d’adhérents pour 100 000 habitants</w:t>
      </w:r>
    </w:p>
    <w:p>
      <w:pPr>
        <w:pStyle w:val="style0"/>
        <w:keepNext/>
        <w:rPr>
          <w:sz w:val="16"/>
        </w:rPr>
      </w:pPr>
      <w:r>
        <w:rPr>
          <w:sz w:val="16"/>
        </w:rPr>
        <w:t>** Place parmi les 20 premières communes (en taux par habitant)</w:t>
      </w:r>
    </w:p>
    <w:p>
      <w:pPr>
        <w:pStyle w:val="style0"/>
        <w:spacing w:after="60" w:before="0"/>
        <w:contextualSpacing w:val="false"/>
        <w:rPr/>
      </w:pPr>
      <w:r>
        <w:rPr/>
      </w:r>
    </w:p>
    <w:p>
      <w:pPr>
        <w:sectPr>
          <w:type w:val="continuous"/>
          <w:pgSz w:h="16838" w:w="11906"/>
          <w:pgMar w:bottom="1417" w:footer="0" w:gutter="0" w:header="0" w:left="1417" w:right="1417" w:top="1417"/>
          <w:cols w:equalWidth="true" w:num="2" w:sep="false" w:space="510"/>
          <w:formProt w:val="false"/>
          <w:textDirection w:val="lrTb"/>
          <w:docGrid w:charSpace="8192" w:linePitch="360" w:type="default"/>
        </w:sectPr>
      </w:pPr>
    </w:p>
    <w:sectPr>
      <w:type w:val="continuous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60" w:before="0" w:line="100" w:lineRule="atLeast"/>
      <w:contextualSpacing w:val="false"/>
      <w:jc w:val="both"/>
    </w:pPr>
    <w:rPr>
      <w:rFonts w:ascii="Calibri" w:cs="Calibri" w:eastAsia="SimSun" w:hAnsi="Calibri"/>
      <w:color w:val="00000A"/>
      <w:sz w:val="22"/>
      <w:szCs w:val="22"/>
      <w:lang w:bidi="ar-SA" w:eastAsia="en-US" w:val="fr-FR"/>
    </w:rPr>
  </w:style>
  <w:style w:styleId="style1" w:type="paragraph">
    <w:name w:val="Titre 1"/>
    <w:basedOn w:val="style0"/>
    <w:next w:val="style1"/>
    <w:pPr>
      <w:keepNext/>
      <w:keepLines/>
      <w:spacing w:after="120" w:before="0"/>
      <w:contextualSpacing w:val="false"/>
      <w:jc w:val="left"/>
    </w:pPr>
    <w:rPr>
      <w:rFonts w:cs=""/>
      <w:b/>
      <w:bCs/>
      <w:color w:val="0F243E"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Titre 1 Car"/>
    <w:basedOn w:val="style15"/>
    <w:next w:val="style16"/>
    <w:rPr>
      <w:rFonts w:cs=""/>
      <w:b/>
      <w:bCs/>
      <w:color w:val="0F243E"/>
      <w:sz w:val="28"/>
      <w:szCs w:val="28"/>
    </w:rPr>
  </w:style>
  <w:style w:styleId="style17" w:type="character">
    <w:name w:val="Titre Car"/>
    <w:basedOn w:val="style15"/>
    <w:next w:val="style17"/>
    <w:rPr>
      <w:rFonts w:ascii="Cambria" w:cs="" w:hAnsi="Cambria"/>
      <w:color w:val="17365D"/>
      <w:spacing w:val="5"/>
      <w:sz w:val="52"/>
      <w:szCs w:val="52"/>
    </w:rPr>
  </w:style>
  <w:style w:styleId="style18" w:type="character">
    <w:name w:val="Texte de bulles Car"/>
    <w:basedOn w:val="style15"/>
    <w:next w:val="style18"/>
    <w:rPr>
      <w:rFonts w:ascii="Tahoma" w:cs="Tahoma" w:hAnsi="Tahoma"/>
      <w:sz w:val="16"/>
      <w:szCs w:val="16"/>
    </w:rPr>
  </w:style>
  <w:style w:styleId="style19" w:type="paragraph">
    <w:name w:val="Titre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Corps de texte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e"/>
    <w:basedOn w:val="style20"/>
    <w:next w:val="style21"/>
    <w:pPr/>
    <w:rPr>
      <w:rFonts w:cs="Mangal"/>
    </w:rPr>
  </w:style>
  <w:style w:styleId="style22" w:type="paragraph">
    <w:name w:val="Légende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  <w:style w:styleId="style24" w:type="paragraph">
    <w:name w:val="Titre principal"/>
    <w:basedOn w:val="style0"/>
    <w:next w:val="style24"/>
    <w:pPr>
      <w:pBdr>
        <w:top w:val="nil"/>
        <w:left w:val="nil"/>
        <w:bottom w:color="4F81BD" w:space="0" w:sz="8" w:val="single"/>
        <w:insideH w:color="4F81BD" w:space="0" w:sz="8" w:val="single"/>
        <w:right w:val="nil"/>
        <w:insideV w:val="nil"/>
      </w:pBdr>
      <w:spacing w:after="300" w:before="0"/>
      <w:contextualSpacing/>
      <w:jc w:val="left"/>
    </w:pPr>
    <w:rPr>
      <w:rFonts w:ascii="Cambria" w:cs="" w:hAnsi="Cambria"/>
      <w:color w:val="17365D"/>
      <w:spacing w:val="5"/>
      <w:sz w:val="52"/>
      <w:szCs w:val="52"/>
    </w:rPr>
  </w:style>
  <w:style w:styleId="style25" w:type="paragraph">
    <w:name w:val="caption"/>
    <w:basedOn w:val="style0"/>
    <w:next w:val="style25"/>
    <w:pPr>
      <w:spacing w:after="200" w:before="0"/>
      <w:contextualSpacing w:val="false"/>
      <w:jc w:val="left"/>
    </w:pPr>
    <w:rPr>
      <w:b/>
      <w:bCs/>
      <w:color w:val="1F497D"/>
      <w:sz w:val="18"/>
      <w:szCs w:val="18"/>
    </w:rPr>
  </w:style>
  <w:style w:styleId="style26" w:type="paragraph">
    <w:name w:val="Balloon Text"/>
    <w:basedOn w:val="style0"/>
    <w:next w:val="style26"/>
    <w:pPr>
      <w:spacing w:after="0" w:before="0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2014-02-28T16:18:00Z</dcterms:created>
  <dc:creator>Laurent Plancke</dc:creator>
  <cp:lastModifiedBy>Laurent Plancke</cp:lastModifiedBy>
  <cp:lastPrinted>2014-02-28T17:17:00Z</cp:lastPrinted>
  <dcterms:modified xsi:type="dcterms:W3CDTF">2014-02-28T17:19:00Z</dcterms:modified>
  <cp:revision>3</cp:revision>
</cp:coreProperties>
</file>